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560"/>
        <w:gridCol w:w="2350"/>
      </w:tblGrid>
      <w:tr w:rsidR="004E46B9" w:rsidRPr="006C3641" w14:paraId="1F213F7B" w14:textId="77777777" w:rsidTr="007A01DE">
        <w:tc>
          <w:tcPr>
            <w:tcW w:w="3809" w:type="pct"/>
            <w:gridSpan w:val="2"/>
          </w:tcPr>
          <w:p w14:paraId="1F213F79" w14:textId="77777777" w:rsidR="004E46B9" w:rsidRPr="006C3641" w:rsidRDefault="00AE799C" w:rsidP="002071FB">
            <w:pPr>
              <w:pStyle w:val="Title"/>
            </w:pPr>
            <w:r>
              <w:t>LÍFEYRISAUKI</w:t>
            </w:r>
          </w:p>
        </w:tc>
        <w:tc>
          <w:tcPr>
            <w:tcW w:w="1191" w:type="pct"/>
          </w:tcPr>
          <w:p w14:paraId="1F213F7A" w14:textId="77777777" w:rsidR="004E46B9" w:rsidRPr="006C3641" w:rsidRDefault="004E46B9" w:rsidP="002071FB">
            <w:pPr>
              <w:jc w:val="right"/>
              <w:rPr>
                <w:rFonts w:cs="Arial"/>
                <w:sz w:val="20"/>
                <w:szCs w:val="20"/>
              </w:rPr>
            </w:pPr>
            <w:r>
              <w:rPr>
                <w:rFonts w:cs="Arial"/>
                <w:noProof/>
                <w:sz w:val="20"/>
                <w:szCs w:val="20"/>
                <w:lang w:val="en-US"/>
              </w:rPr>
              <w:drawing>
                <wp:inline distT="0" distB="0" distL="0" distR="0" wp14:anchorId="1F214152" wp14:editId="1F214153">
                  <wp:extent cx="1355019" cy="3162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4E46B9" w:rsidRPr="006C3641" w14:paraId="1F213F7E" w14:textId="77777777" w:rsidTr="007A01DE">
        <w:trPr>
          <w:trHeight w:val="340"/>
        </w:trPr>
        <w:tc>
          <w:tcPr>
            <w:tcW w:w="3018" w:type="pct"/>
          </w:tcPr>
          <w:p w14:paraId="1F213F7C" w14:textId="77777777" w:rsidR="004E46B9" w:rsidRPr="006066D4" w:rsidRDefault="00110768" w:rsidP="002071FB">
            <w:pPr>
              <w:pStyle w:val="Subtitle"/>
              <w:rPr>
                <w:sz w:val="22"/>
                <w:szCs w:val="22"/>
              </w:rPr>
            </w:pPr>
            <w:r>
              <w:rPr>
                <w:sz w:val="22"/>
                <w:szCs w:val="22"/>
              </w:rPr>
              <w:t>SAMNINGUR UM VIÐBÓTARLÍFEYRISSPARNAÐ</w:t>
            </w:r>
          </w:p>
        </w:tc>
        <w:tc>
          <w:tcPr>
            <w:tcW w:w="1982" w:type="pct"/>
            <w:gridSpan w:val="2"/>
            <w:vAlign w:val="center"/>
          </w:tcPr>
          <w:p w14:paraId="1F213F7D" w14:textId="77777777" w:rsidR="004E46B9" w:rsidRPr="007A01DE" w:rsidRDefault="007A01DE" w:rsidP="007A01DE">
            <w:pPr>
              <w:jc w:val="right"/>
              <w:rPr>
                <w:rStyle w:val="SubtleEmphasis"/>
              </w:rPr>
            </w:pPr>
            <w:r w:rsidRPr="007A01DE">
              <w:rPr>
                <w:rStyle w:val="SubtleEmphasis"/>
                <w:sz w:val="16"/>
              </w:rPr>
              <w:t>Rnr. 329-26-001080, kt. 640699-9069, lsjnr. 286</w:t>
            </w:r>
          </w:p>
        </w:tc>
      </w:tr>
    </w:tbl>
    <w:p w14:paraId="1F213F7F" w14:textId="77777777" w:rsidR="0094798B" w:rsidRPr="0069266A" w:rsidRDefault="0094798B" w:rsidP="00AB0BE1">
      <w:pPr>
        <w:rPr>
          <w:sz w:val="6"/>
          <w:szCs w:val="6"/>
        </w:rPr>
      </w:pPr>
    </w:p>
    <w:p w14:paraId="1F213F80" w14:textId="77777777" w:rsidR="0069266A" w:rsidRPr="00AE770A" w:rsidRDefault="0069266A" w:rsidP="0069266A">
      <w:pPr>
        <w:jc w:val="both"/>
        <w:rPr>
          <w:rFonts w:cs="Arial"/>
          <w:b/>
          <w:sz w:val="16"/>
          <w:szCs w:val="18"/>
        </w:rPr>
      </w:pPr>
      <w:r w:rsidRPr="00AE770A">
        <w:rPr>
          <w:rFonts w:cs="Arial"/>
          <w:b/>
          <w:sz w:val="16"/>
          <w:szCs w:val="18"/>
        </w:rPr>
        <w:t>Undirritaður rétthafi og Lífeyrisauki í umboði Arion banka gera með sér eftirfarandi samning um reglulegan viðbótarlífeyrissparnað:</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266"/>
        <w:gridCol w:w="1091"/>
        <w:gridCol w:w="278"/>
        <w:gridCol w:w="2490"/>
      </w:tblGrid>
      <w:tr w:rsidR="0069266A" w:rsidRPr="005D14C2" w14:paraId="1F213F84" w14:textId="77777777" w:rsidTr="00E12F74">
        <w:trPr>
          <w:trHeight w:val="283"/>
        </w:trPr>
        <w:tc>
          <w:tcPr>
            <w:tcW w:w="3597" w:type="pct"/>
            <w:gridSpan w:val="3"/>
            <w:tcBorders>
              <w:bottom w:val="single" w:sz="2" w:space="0" w:color="auto"/>
            </w:tcBorders>
            <w:vAlign w:val="bottom"/>
          </w:tcPr>
          <w:p w14:paraId="1F213F81" w14:textId="77777777" w:rsidR="0069266A" w:rsidRPr="005D14C2" w:rsidRDefault="0069266A" w:rsidP="00E12F74">
            <w:pPr>
              <w:rPr>
                <w:rFonts w:asciiTheme="minorHAnsi" w:hAnsiTheme="minorHAnsi"/>
                <w:iCs/>
                <w:sz w:val="20"/>
                <w:szCs w:val="20"/>
              </w:rPr>
            </w:pPr>
            <w:r>
              <w:rPr>
                <w:iCs/>
                <w:sz w:val="20"/>
                <w:szCs w:val="20"/>
              </w:rPr>
              <w:fldChar w:fldCharType="begin">
                <w:ffData>
                  <w:name w:val="NAFN1"/>
                  <w:enabled/>
                  <w:calcOnExit w:val="0"/>
                  <w:textInput/>
                </w:ffData>
              </w:fldChar>
            </w:r>
            <w:bookmarkStart w:id="0" w:name="NAFN1"/>
            <w:r>
              <w:rPr>
                <w:iCs/>
                <w:sz w:val="20"/>
                <w:szCs w:val="20"/>
              </w:rPr>
              <w:instrText xml:space="preserve"> FORMTEXT </w:instrText>
            </w:r>
            <w:r>
              <w:rPr>
                <w:iCs/>
                <w:sz w:val="20"/>
                <w:szCs w:val="20"/>
              </w:rPr>
            </w:r>
            <w:r>
              <w:rPr>
                <w:iCs/>
                <w:sz w:val="20"/>
                <w:szCs w:val="20"/>
              </w:rPr>
              <w:fldChar w:fldCharType="separate"/>
            </w:r>
            <w:bookmarkStart w:id="1" w:name="_GoBack"/>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bookmarkEnd w:id="1"/>
            <w:r>
              <w:rPr>
                <w:iCs/>
                <w:sz w:val="20"/>
                <w:szCs w:val="20"/>
              </w:rPr>
              <w:fldChar w:fldCharType="end"/>
            </w:r>
            <w:bookmarkEnd w:id="0"/>
          </w:p>
        </w:tc>
        <w:tc>
          <w:tcPr>
            <w:tcW w:w="141" w:type="pct"/>
            <w:vAlign w:val="bottom"/>
          </w:tcPr>
          <w:p w14:paraId="1F213F82" w14:textId="77777777" w:rsidR="0069266A" w:rsidRPr="005D14C2" w:rsidRDefault="0069266A" w:rsidP="00E12F74">
            <w:pPr>
              <w:rPr>
                <w:rFonts w:asciiTheme="minorHAnsi" w:hAnsiTheme="minorHAnsi"/>
                <w:iCs/>
                <w:sz w:val="20"/>
                <w:szCs w:val="20"/>
              </w:rPr>
            </w:pPr>
          </w:p>
        </w:tc>
        <w:tc>
          <w:tcPr>
            <w:tcW w:w="1262" w:type="pct"/>
            <w:tcBorders>
              <w:bottom w:val="single" w:sz="2" w:space="0" w:color="auto"/>
            </w:tcBorders>
            <w:vAlign w:val="bottom"/>
          </w:tcPr>
          <w:p w14:paraId="1F213F83" w14:textId="77777777" w:rsidR="0069266A" w:rsidRPr="005D14C2" w:rsidRDefault="0069266A" w:rsidP="00E12F74">
            <w:pPr>
              <w:rPr>
                <w:rFonts w:asciiTheme="minorHAnsi" w:hAnsiTheme="minorHAnsi"/>
                <w:iCs/>
                <w:sz w:val="20"/>
                <w:szCs w:val="20"/>
              </w:rPr>
            </w:pPr>
            <w:r>
              <w:rPr>
                <w:iCs/>
                <w:sz w:val="20"/>
                <w:szCs w:val="20"/>
              </w:rPr>
              <w:fldChar w:fldCharType="begin">
                <w:ffData>
                  <w:name w:val="KT1"/>
                  <w:enabled/>
                  <w:calcOnExit w:val="0"/>
                  <w:textInput/>
                </w:ffData>
              </w:fldChar>
            </w:r>
            <w:bookmarkStart w:id="2" w:name="KT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2"/>
          </w:p>
        </w:tc>
      </w:tr>
      <w:tr w:rsidR="0069266A" w:rsidRPr="005D14C2" w14:paraId="1F213F88" w14:textId="77777777" w:rsidTr="00E12F74">
        <w:tc>
          <w:tcPr>
            <w:tcW w:w="3597" w:type="pct"/>
            <w:gridSpan w:val="3"/>
            <w:tcBorders>
              <w:top w:val="single" w:sz="2" w:space="0" w:color="auto"/>
            </w:tcBorders>
          </w:tcPr>
          <w:p w14:paraId="1F213F85" w14:textId="77777777" w:rsidR="0069266A" w:rsidRPr="005D14C2" w:rsidRDefault="0069266A" w:rsidP="00E12F74">
            <w:pPr>
              <w:rPr>
                <w:rFonts w:asciiTheme="minorHAnsi" w:hAnsiTheme="minorHAnsi"/>
                <w:bCs/>
                <w:sz w:val="14"/>
              </w:rPr>
            </w:pPr>
            <w:r>
              <w:rPr>
                <w:rFonts w:asciiTheme="minorHAnsi" w:hAnsiTheme="minorHAnsi"/>
                <w:bCs/>
                <w:sz w:val="14"/>
              </w:rPr>
              <w:t xml:space="preserve">Nafn rétthafa </w:t>
            </w:r>
          </w:p>
        </w:tc>
        <w:tc>
          <w:tcPr>
            <w:tcW w:w="141" w:type="pct"/>
          </w:tcPr>
          <w:p w14:paraId="1F213F86" w14:textId="77777777" w:rsidR="0069266A" w:rsidRPr="005D14C2" w:rsidRDefault="0069266A" w:rsidP="00E12F74">
            <w:pPr>
              <w:rPr>
                <w:rFonts w:asciiTheme="minorHAnsi" w:hAnsiTheme="minorHAnsi"/>
                <w:bCs/>
                <w:sz w:val="14"/>
              </w:rPr>
            </w:pPr>
          </w:p>
        </w:tc>
        <w:tc>
          <w:tcPr>
            <w:tcW w:w="1262" w:type="pct"/>
            <w:tcBorders>
              <w:top w:val="single" w:sz="2" w:space="0" w:color="auto"/>
            </w:tcBorders>
          </w:tcPr>
          <w:p w14:paraId="1F213F87" w14:textId="77777777" w:rsidR="0069266A" w:rsidRPr="005D14C2" w:rsidRDefault="0069266A" w:rsidP="00E12F74">
            <w:pPr>
              <w:rPr>
                <w:rFonts w:asciiTheme="minorHAnsi" w:hAnsiTheme="minorHAnsi"/>
                <w:bCs/>
                <w:sz w:val="14"/>
              </w:rPr>
            </w:pPr>
            <w:r w:rsidRPr="005D14C2">
              <w:rPr>
                <w:rFonts w:asciiTheme="minorHAnsi" w:hAnsiTheme="minorHAnsi"/>
                <w:bCs/>
                <w:sz w:val="14"/>
              </w:rPr>
              <w:t>Kennitala</w:t>
            </w:r>
          </w:p>
        </w:tc>
      </w:tr>
      <w:tr w:rsidR="0069266A" w:rsidRPr="005D14C2" w14:paraId="1F213F8E" w14:textId="77777777" w:rsidTr="00E12F74">
        <w:trPr>
          <w:trHeight w:val="283"/>
        </w:trPr>
        <w:tc>
          <w:tcPr>
            <w:tcW w:w="2909" w:type="pct"/>
            <w:tcBorders>
              <w:bottom w:val="single" w:sz="2" w:space="0" w:color="auto"/>
            </w:tcBorders>
            <w:vAlign w:val="bottom"/>
          </w:tcPr>
          <w:p w14:paraId="1F213F89" w14:textId="77777777" w:rsidR="0069266A" w:rsidRPr="005D14C2" w:rsidRDefault="0069266A" w:rsidP="00E12F74">
            <w:pPr>
              <w:rPr>
                <w:rFonts w:asciiTheme="minorHAnsi" w:hAnsiTheme="minorHAnsi"/>
                <w:iCs/>
                <w:sz w:val="20"/>
                <w:szCs w:val="20"/>
              </w:rPr>
            </w:pPr>
            <w:r w:rsidRPr="005D14C2">
              <w:rPr>
                <w:iCs/>
                <w:sz w:val="20"/>
                <w:szCs w:val="20"/>
              </w:rPr>
              <w:fldChar w:fldCharType="begin">
                <w:ffData>
                  <w:name w:val="HEIMILI"/>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35" w:type="pct"/>
            <w:vAlign w:val="bottom"/>
          </w:tcPr>
          <w:p w14:paraId="1F213F8A" w14:textId="77777777" w:rsidR="0069266A" w:rsidRPr="005D14C2" w:rsidRDefault="0069266A" w:rsidP="00E12F74">
            <w:pPr>
              <w:rPr>
                <w:rFonts w:asciiTheme="minorHAnsi" w:hAnsiTheme="minorHAnsi"/>
                <w:iCs/>
                <w:sz w:val="20"/>
                <w:szCs w:val="20"/>
              </w:rPr>
            </w:pPr>
          </w:p>
        </w:tc>
        <w:tc>
          <w:tcPr>
            <w:tcW w:w="553" w:type="pct"/>
            <w:tcBorders>
              <w:bottom w:val="single" w:sz="2" w:space="0" w:color="auto"/>
            </w:tcBorders>
            <w:vAlign w:val="bottom"/>
          </w:tcPr>
          <w:p w14:paraId="1F213F8B" w14:textId="77777777" w:rsidR="0069266A" w:rsidRPr="005D14C2" w:rsidRDefault="0069266A" w:rsidP="00E12F74">
            <w:pPr>
              <w:rPr>
                <w:rFonts w:asciiTheme="minorHAnsi" w:hAnsiTheme="minorHAnsi"/>
                <w:iCs/>
                <w:sz w:val="20"/>
                <w:szCs w:val="20"/>
              </w:rPr>
            </w:pPr>
            <w:r w:rsidRPr="005D14C2">
              <w:rPr>
                <w:iCs/>
                <w:sz w:val="20"/>
                <w:szCs w:val="20"/>
              </w:rPr>
              <w:fldChar w:fldCharType="begin">
                <w:ffData>
                  <w:name w:val="POSTNR"/>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41" w:type="pct"/>
            <w:vAlign w:val="bottom"/>
          </w:tcPr>
          <w:p w14:paraId="1F213F8C" w14:textId="77777777" w:rsidR="0069266A" w:rsidRPr="005D14C2" w:rsidRDefault="0069266A" w:rsidP="00E12F74">
            <w:pPr>
              <w:rPr>
                <w:rFonts w:asciiTheme="minorHAnsi" w:hAnsiTheme="minorHAnsi"/>
                <w:iCs/>
                <w:sz w:val="20"/>
                <w:szCs w:val="20"/>
              </w:rPr>
            </w:pPr>
          </w:p>
        </w:tc>
        <w:tc>
          <w:tcPr>
            <w:tcW w:w="1262" w:type="pct"/>
            <w:tcBorders>
              <w:bottom w:val="single" w:sz="2" w:space="0" w:color="auto"/>
            </w:tcBorders>
            <w:vAlign w:val="bottom"/>
          </w:tcPr>
          <w:p w14:paraId="1F213F8D" w14:textId="77777777" w:rsidR="0069266A" w:rsidRPr="005D14C2" w:rsidRDefault="0069266A" w:rsidP="00E12F74">
            <w:pPr>
              <w:rPr>
                <w:rFonts w:asciiTheme="minorHAnsi" w:hAnsiTheme="minorHAnsi"/>
                <w:iCs/>
                <w:sz w:val="20"/>
                <w:szCs w:val="20"/>
              </w:rPr>
            </w:pPr>
            <w:r>
              <w:rPr>
                <w:iCs/>
                <w:sz w:val="20"/>
                <w:szCs w:val="20"/>
              </w:rPr>
              <w:fldChar w:fldCharType="begin">
                <w:ffData>
                  <w:name w:val="STADUR"/>
                  <w:enabled/>
                  <w:calcOnExit w:val="0"/>
                  <w:textInput/>
                </w:ffData>
              </w:fldChar>
            </w:r>
            <w:bookmarkStart w:id="3" w:name="STADU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3"/>
          </w:p>
        </w:tc>
      </w:tr>
      <w:tr w:rsidR="0069266A" w:rsidRPr="005D14C2" w14:paraId="1F213F94" w14:textId="77777777" w:rsidTr="00E12F74">
        <w:tc>
          <w:tcPr>
            <w:tcW w:w="2909" w:type="pct"/>
            <w:tcBorders>
              <w:top w:val="single" w:sz="2" w:space="0" w:color="auto"/>
            </w:tcBorders>
          </w:tcPr>
          <w:p w14:paraId="1F213F8F" w14:textId="77777777" w:rsidR="0069266A" w:rsidRPr="005D14C2" w:rsidRDefault="0069266A" w:rsidP="00E12F74">
            <w:pPr>
              <w:rPr>
                <w:rFonts w:asciiTheme="minorHAnsi" w:hAnsiTheme="minorHAnsi"/>
                <w:bCs/>
                <w:sz w:val="14"/>
              </w:rPr>
            </w:pPr>
            <w:r w:rsidRPr="005D14C2">
              <w:rPr>
                <w:rFonts w:asciiTheme="minorHAnsi" w:hAnsiTheme="minorHAnsi"/>
                <w:bCs/>
                <w:sz w:val="14"/>
              </w:rPr>
              <w:t>Heimilisfang</w:t>
            </w:r>
          </w:p>
        </w:tc>
        <w:tc>
          <w:tcPr>
            <w:tcW w:w="135" w:type="pct"/>
          </w:tcPr>
          <w:p w14:paraId="1F213F90" w14:textId="77777777" w:rsidR="0069266A" w:rsidRPr="005D14C2" w:rsidRDefault="0069266A" w:rsidP="00E12F74">
            <w:pPr>
              <w:rPr>
                <w:rFonts w:asciiTheme="minorHAnsi" w:hAnsiTheme="minorHAnsi"/>
                <w:bCs/>
                <w:sz w:val="14"/>
              </w:rPr>
            </w:pPr>
          </w:p>
        </w:tc>
        <w:tc>
          <w:tcPr>
            <w:tcW w:w="553" w:type="pct"/>
          </w:tcPr>
          <w:p w14:paraId="1F213F91" w14:textId="77777777" w:rsidR="0069266A" w:rsidRPr="005D14C2" w:rsidRDefault="0069266A" w:rsidP="00E12F74">
            <w:pPr>
              <w:rPr>
                <w:rFonts w:asciiTheme="minorHAnsi" w:hAnsiTheme="minorHAnsi"/>
                <w:bCs/>
                <w:sz w:val="14"/>
              </w:rPr>
            </w:pPr>
            <w:r w:rsidRPr="005D14C2">
              <w:rPr>
                <w:rFonts w:asciiTheme="minorHAnsi" w:hAnsiTheme="minorHAnsi"/>
                <w:bCs/>
                <w:sz w:val="14"/>
              </w:rPr>
              <w:t>Póstnúmer</w:t>
            </w:r>
          </w:p>
        </w:tc>
        <w:tc>
          <w:tcPr>
            <w:tcW w:w="141" w:type="pct"/>
          </w:tcPr>
          <w:p w14:paraId="1F213F92" w14:textId="77777777" w:rsidR="0069266A" w:rsidRPr="005D14C2" w:rsidRDefault="0069266A" w:rsidP="00E12F74">
            <w:pPr>
              <w:rPr>
                <w:rFonts w:asciiTheme="minorHAnsi" w:hAnsiTheme="minorHAnsi"/>
                <w:bCs/>
                <w:sz w:val="14"/>
              </w:rPr>
            </w:pPr>
          </w:p>
        </w:tc>
        <w:tc>
          <w:tcPr>
            <w:tcW w:w="1262" w:type="pct"/>
          </w:tcPr>
          <w:p w14:paraId="1F213F93" w14:textId="77777777" w:rsidR="0069266A" w:rsidRPr="005D14C2" w:rsidRDefault="0069266A" w:rsidP="00E12F74">
            <w:pPr>
              <w:rPr>
                <w:rFonts w:asciiTheme="minorHAnsi" w:hAnsiTheme="minorHAnsi"/>
                <w:bCs/>
                <w:sz w:val="14"/>
              </w:rPr>
            </w:pPr>
            <w:r w:rsidRPr="005D14C2">
              <w:rPr>
                <w:rFonts w:asciiTheme="minorHAnsi" w:hAnsiTheme="minorHAnsi"/>
                <w:bCs/>
                <w:sz w:val="14"/>
              </w:rPr>
              <w:t>Staður</w:t>
            </w:r>
          </w:p>
        </w:tc>
      </w:tr>
      <w:tr w:rsidR="0069266A" w:rsidRPr="005D14C2" w14:paraId="1F213F98" w14:textId="77777777" w:rsidTr="00E12F74">
        <w:trPr>
          <w:trHeight w:val="283"/>
        </w:trPr>
        <w:tc>
          <w:tcPr>
            <w:tcW w:w="3597" w:type="pct"/>
            <w:gridSpan w:val="3"/>
            <w:tcBorders>
              <w:bottom w:val="single" w:sz="2" w:space="0" w:color="auto"/>
            </w:tcBorders>
            <w:vAlign w:val="bottom"/>
          </w:tcPr>
          <w:p w14:paraId="1F213F95" w14:textId="77777777" w:rsidR="0069266A" w:rsidRPr="005D14C2" w:rsidRDefault="0069266A" w:rsidP="00E12F74">
            <w:pPr>
              <w:rPr>
                <w:rFonts w:asciiTheme="minorHAnsi" w:hAnsiTheme="minorHAnsi"/>
                <w:iCs/>
                <w:sz w:val="20"/>
              </w:rPr>
            </w:pPr>
            <w:r>
              <w:rPr>
                <w:iCs/>
                <w:sz w:val="20"/>
              </w:rPr>
              <w:fldChar w:fldCharType="begin">
                <w:ffData>
                  <w:name w:val="NETFANG"/>
                  <w:enabled/>
                  <w:calcOnExit w:val="0"/>
                  <w:textInput/>
                </w:ffData>
              </w:fldChar>
            </w:r>
            <w:bookmarkStart w:id="4" w:name="NETFANG"/>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4"/>
          </w:p>
        </w:tc>
        <w:tc>
          <w:tcPr>
            <w:tcW w:w="141" w:type="pct"/>
            <w:vAlign w:val="bottom"/>
          </w:tcPr>
          <w:p w14:paraId="1F213F96" w14:textId="77777777" w:rsidR="0069266A" w:rsidRPr="005D14C2" w:rsidRDefault="0069266A" w:rsidP="00E12F74">
            <w:pPr>
              <w:rPr>
                <w:rFonts w:asciiTheme="minorHAnsi" w:hAnsiTheme="minorHAnsi"/>
                <w:iCs/>
                <w:sz w:val="20"/>
              </w:rPr>
            </w:pPr>
          </w:p>
        </w:tc>
        <w:tc>
          <w:tcPr>
            <w:tcW w:w="1262" w:type="pct"/>
            <w:tcBorders>
              <w:bottom w:val="single" w:sz="2" w:space="0" w:color="auto"/>
            </w:tcBorders>
            <w:vAlign w:val="bottom"/>
          </w:tcPr>
          <w:p w14:paraId="1F213F97" w14:textId="77777777" w:rsidR="0069266A" w:rsidRPr="005D14C2" w:rsidRDefault="0069266A" w:rsidP="00E12F74">
            <w:pPr>
              <w:rPr>
                <w:rFonts w:asciiTheme="minorHAnsi" w:hAnsiTheme="minorHAnsi"/>
                <w:iCs/>
                <w:sz w:val="20"/>
              </w:rPr>
            </w:pPr>
            <w:r>
              <w:rPr>
                <w:iCs/>
                <w:sz w:val="20"/>
              </w:rPr>
              <w:fldChar w:fldCharType="begin">
                <w:ffData>
                  <w:name w:val="SIMI"/>
                  <w:enabled/>
                  <w:calcOnExit w:val="0"/>
                  <w:textInput/>
                </w:ffData>
              </w:fldChar>
            </w:r>
            <w:bookmarkStart w:id="5" w:name="SIMI"/>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5"/>
            <w:r w:rsidRPr="005D14C2">
              <w:rPr>
                <w:rFonts w:asciiTheme="minorHAnsi" w:hAnsiTheme="minorHAnsi"/>
                <w:iCs/>
                <w:sz w:val="20"/>
              </w:rPr>
              <w:t xml:space="preserve"> / </w:t>
            </w:r>
            <w:r w:rsidRPr="005D14C2">
              <w:rPr>
                <w:iCs/>
                <w:sz w:val="20"/>
              </w:rPr>
              <w:fldChar w:fldCharType="begin">
                <w:ffData>
                  <w:name w:val="GSM"/>
                  <w:enabled/>
                  <w:calcOnExit w:val="0"/>
                  <w:textInput/>
                </w:ffData>
              </w:fldChar>
            </w:r>
            <w:r w:rsidRPr="005D14C2">
              <w:rPr>
                <w:rFonts w:asciiTheme="minorHAnsi" w:hAnsiTheme="minorHAnsi"/>
                <w:iCs/>
                <w:sz w:val="20"/>
              </w:rPr>
              <w:instrText xml:space="preserve"> FORMTEXT </w:instrText>
            </w:r>
            <w:r w:rsidRPr="005D14C2">
              <w:rPr>
                <w:iCs/>
                <w:sz w:val="20"/>
              </w:rPr>
            </w:r>
            <w:r w:rsidRPr="005D14C2">
              <w:rPr>
                <w:iCs/>
                <w:sz w:val="20"/>
              </w:rPr>
              <w:fldChar w:fldCharType="separate"/>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iCs/>
                <w:sz w:val="20"/>
              </w:rPr>
              <w:fldChar w:fldCharType="end"/>
            </w:r>
          </w:p>
        </w:tc>
      </w:tr>
      <w:tr w:rsidR="0069266A" w:rsidRPr="005D14C2" w14:paraId="1F213F9C" w14:textId="77777777" w:rsidTr="00E12F74">
        <w:tc>
          <w:tcPr>
            <w:tcW w:w="3597" w:type="pct"/>
            <w:gridSpan w:val="3"/>
            <w:tcBorders>
              <w:top w:val="single" w:sz="2" w:space="0" w:color="auto"/>
            </w:tcBorders>
          </w:tcPr>
          <w:p w14:paraId="1F213F99" w14:textId="77777777" w:rsidR="0069266A" w:rsidRPr="005D14C2" w:rsidRDefault="0069266A" w:rsidP="00E12F74">
            <w:pPr>
              <w:rPr>
                <w:rFonts w:asciiTheme="minorHAnsi" w:hAnsiTheme="minorHAnsi"/>
                <w:bCs/>
                <w:sz w:val="14"/>
              </w:rPr>
            </w:pPr>
            <w:r w:rsidRPr="005D14C2">
              <w:rPr>
                <w:rFonts w:asciiTheme="minorHAnsi" w:hAnsiTheme="minorHAnsi"/>
                <w:bCs/>
                <w:sz w:val="14"/>
              </w:rPr>
              <w:t>Netfang</w:t>
            </w:r>
          </w:p>
        </w:tc>
        <w:tc>
          <w:tcPr>
            <w:tcW w:w="141" w:type="pct"/>
          </w:tcPr>
          <w:p w14:paraId="1F213F9A" w14:textId="77777777" w:rsidR="0069266A" w:rsidRPr="005D14C2" w:rsidRDefault="0069266A" w:rsidP="00E12F74">
            <w:pPr>
              <w:rPr>
                <w:rFonts w:asciiTheme="minorHAnsi" w:hAnsiTheme="minorHAnsi"/>
                <w:bCs/>
                <w:sz w:val="14"/>
              </w:rPr>
            </w:pPr>
          </w:p>
        </w:tc>
        <w:tc>
          <w:tcPr>
            <w:tcW w:w="1262" w:type="pct"/>
            <w:tcBorders>
              <w:top w:val="single" w:sz="2" w:space="0" w:color="auto"/>
            </w:tcBorders>
          </w:tcPr>
          <w:p w14:paraId="1F213F9B" w14:textId="77777777" w:rsidR="0069266A" w:rsidRPr="005D14C2" w:rsidRDefault="0069266A" w:rsidP="00E12F74">
            <w:pPr>
              <w:rPr>
                <w:rFonts w:asciiTheme="minorHAnsi" w:hAnsiTheme="minorHAnsi"/>
                <w:bCs/>
                <w:sz w:val="14"/>
              </w:rPr>
            </w:pPr>
            <w:r w:rsidRPr="005D14C2">
              <w:rPr>
                <w:rFonts w:asciiTheme="minorHAnsi" w:hAnsiTheme="minorHAnsi"/>
                <w:bCs/>
                <w:sz w:val="14"/>
              </w:rPr>
              <w:t>Sími / GSM</w:t>
            </w:r>
          </w:p>
        </w:tc>
      </w:tr>
    </w:tbl>
    <w:p w14:paraId="1F213F9D" w14:textId="77777777" w:rsidR="00752E3D" w:rsidRPr="0069266A" w:rsidRDefault="00752E3D" w:rsidP="00AB0BE1">
      <w:pPr>
        <w:rPr>
          <w:sz w:val="6"/>
          <w:szCs w:val="6"/>
        </w:rPr>
      </w:pPr>
    </w:p>
    <w:p w14:paraId="1F213F9E" w14:textId="77777777" w:rsidR="0069266A" w:rsidRDefault="00A24BEC" w:rsidP="0069266A">
      <w:pPr>
        <w:jc w:val="both"/>
        <w:rPr>
          <w:sz w:val="14"/>
          <w:szCs w:val="14"/>
        </w:rPr>
      </w:pPr>
      <w:r>
        <w:rPr>
          <w:sz w:val="14"/>
          <w:szCs w:val="14"/>
        </w:rPr>
        <w:fldChar w:fldCharType="begin">
          <w:ffData>
            <w:name w:val="Check1"/>
            <w:enabled/>
            <w:calcOnExit w:val="0"/>
            <w:checkBox>
              <w:sizeAuto/>
              <w:default w:val="0"/>
              <w:checked w:val="0"/>
            </w:checkBox>
          </w:ffData>
        </w:fldChar>
      </w:r>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r w:rsidR="00F95949">
        <w:rPr>
          <w:sz w:val="14"/>
          <w:szCs w:val="14"/>
        </w:rPr>
        <w:t xml:space="preserve">  </w:t>
      </w:r>
      <w:r w:rsidR="00623D48" w:rsidRPr="00623D48">
        <w:rPr>
          <w:sz w:val="14"/>
          <w:szCs w:val="14"/>
        </w:rPr>
        <w:t xml:space="preserve">Undirritaður óskar eftir að ráðstafa hluta af iðgjaldi til kaupa á örorkutryggingu fyrir rétthafa hjá Verði Tryggingum hf. og samþykkir miðlun persónuupplýsinga til Varðar </w:t>
      </w:r>
    </w:p>
    <w:p w14:paraId="1F213F9F" w14:textId="77777777" w:rsidR="00623D48" w:rsidRPr="000F7B86" w:rsidRDefault="00623D48" w:rsidP="0069266A">
      <w:pPr>
        <w:jc w:val="both"/>
        <w:rPr>
          <w:sz w:val="14"/>
          <w:szCs w:val="14"/>
        </w:rPr>
      </w:pPr>
      <w:r>
        <w:rPr>
          <w:sz w:val="14"/>
          <w:szCs w:val="14"/>
        </w:rPr>
        <w:t xml:space="preserve">      </w:t>
      </w:r>
      <w:r w:rsidRPr="00623D48">
        <w:rPr>
          <w:sz w:val="14"/>
          <w:szCs w:val="14"/>
        </w:rPr>
        <w:t>Trygginga hf., þ.e. upplýsingar um nafn, kennitölu, símanúmer og netfang undirritaðs, sem nauðsynlegar eru vegna örorkutryggingarinnar (Lágmarksaldur 20 ára).</w:t>
      </w:r>
    </w:p>
    <w:p w14:paraId="1F213FA0" w14:textId="77777777" w:rsidR="0069266A" w:rsidRPr="00AE770A" w:rsidRDefault="0069266A" w:rsidP="0069266A">
      <w:pPr>
        <w:jc w:val="both"/>
        <w:outlineLvl w:val="0"/>
        <w:rPr>
          <w:b/>
          <w:sz w:val="16"/>
          <w:szCs w:val="18"/>
        </w:rPr>
      </w:pPr>
      <w:r w:rsidRPr="00AE770A">
        <w:rPr>
          <w:b/>
          <w:sz w:val="16"/>
          <w:szCs w:val="18"/>
        </w:rPr>
        <w:t>Innborgun</w:t>
      </w:r>
    </w:p>
    <w:p w14:paraId="1F213FA1" w14:textId="77777777" w:rsidR="0069266A" w:rsidRPr="00125CCC" w:rsidRDefault="0069266A" w:rsidP="0069266A">
      <w:pPr>
        <w:jc w:val="both"/>
        <w:rPr>
          <w:sz w:val="16"/>
          <w:szCs w:val="16"/>
        </w:rPr>
      </w:pPr>
      <w:r w:rsidRPr="00125CCC">
        <w:rPr>
          <w:sz w:val="16"/>
          <w:szCs w:val="16"/>
        </w:rPr>
        <w:t xml:space="preserve">Rétthafi skuldbindur sig til að greiða mánaðarlega sem hér segir: </w:t>
      </w:r>
    </w:p>
    <w:tbl>
      <w:tblPr>
        <w:tblW w:w="5000" w:type="pct"/>
        <w:tblLayout w:type="fixed"/>
        <w:tblLook w:val="01E0" w:firstRow="1" w:lastRow="1" w:firstColumn="1" w:lastColumn="1" w:noHBand="0" w:noVBand="0"/>
      </w:tblPr>
      <w:tblGrid>
        <w:gridCol w:w="467"/>
        <w:gridCol w:w="1261"/>
        <w:gridCol w:w="1203"/>
        <w:gridCol w:w="892"/>
        <w:gridCol w:w="6"/>
        <w:gridCol w:w="1089"/>
        <w:gridCol w:w="4946"/>
      </w:tblGrid>
      <w:tr w:rsidR="0069266A" w:rsidRPr="00125CCC" w14:paraId="1F213FA8" w14:textId="77777777" w:rsidTr="00E12F74">
        <w:tc>
          <w:tcPr>
            <w:tcW w:w="237" w:type="pct"/>
          </w:tcPr>
          <w:p w14:paraId="1F213FA2" w14:textId="77777777" w:rsidR="0069266A" w:rsidRPr="0069266A" w:rsidRDefault="0069266A" w:rsidP="00E12F74">
            <w:pPr>
              <w:autoSpaceDE w:val="0"/>
              <w:autoSpaceDN w:val="0"/>
              <w:adjustRightInd w:val="0"/>
              <w:rPr>
                <w:sz w:val="6"/>
                <w:szCs w:val="14"/>
              </w:rPr>
            </w:pPr>
          </w:p>
          <w:p w14:paraId="1F213FA3" w14:textId="77777777" w:rsidR="0069266A" w:rsidRPr="00125CCC" w:rsidRDefault="0069266A" w:rsidP="00E12F74">
            <w:pPr>
              <w:autoSpaceDE w:val="0"/>
              <w:autoSpaceDN w:val="0"/>
              <w:adjustRightInd w:val="0"/>
              <w:rPr>
                <w:sz w:val="14"/>
                <w:szCs w:val="14"/>
              </w:rPr>
            </w:pPr>
            <w:r>
              <w:rPr>
                <w:sz w:val="14"/>
                <w:szCs w:val="14"/>
              </w:rPr>
              <w:fldChar w:fldCharType="begin">
                <w:ffData>
                  <w:name w:val="Check1"/>
                  <w:enabled/>
                  <w:calcOnExit w:val="0"/>
                  <w:checkBox>
                    <w:sizeAuto/>
                    <w:default w:val="0"/>
                    <w:checked w:val="0"/>
                  </w:checkBox>
                </w:ffData>
              </w:fldChar>
            </w:r>
            <w:bookmarkStart w:id="6" w:name="Check1"/>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bookmarkEnd w:id="6"/>
          </w:p>
        </w:tc>
        <w:tc>
          <w:tcPr>
            <w:tcW w:w="2256" w:type="pct"/>
            <w:gridSpan w:val="5"/>
          </w:tcPr>
          <w:p w14:paraId="1F213FA4" w14:textId="77777777" w:rsidR="0069266A" w:rsidRPr="0069266A" w:rsidRDefault="0069266A" w:rsidP="00E12F74">
            <w:pPr>
              <w:autoSpaceDE w:val="0"/>
              <w:autoSpaceDN w:val="0"/>
              <w:adjustRightInd w:val="0"/>
              <w:rPr>
                <w:sz w:val="6"/>
                <w:szCs w:val="6"/>
              </w:rPr>
            </w:pPr>
          </w:p>
          <w:p w14:paraId="1F213FA5" w14:textId="77777777" w:rsidR="0069266A" w:rsidRPr="00125CCC" w:rsidRDefault="0069266A" w:rsidP="00E12F74">
            <w:pPr>
              <w:autoSpaceDE w:val="0"/>
              <w:autoSpaceDN w:val="0"/>
              <w:adjustRightInd w:val="0"/>
              <w:rPr>
                <w:sz w:val="14"/>
                <w:szCs w:val="14"/>
              </w:rPr>
            </w:pPr>
            <w:r>
              <w:rPr>
                <w:sz w:val="14"/>
                <w:szCs w:val="14"/>
              </w:rPr>
              <w:t>4</w:t>
            </w:r>
            <w:r w:rsidRPr="00125CCC">
              <w:rPr>
                <w:sz w:val="14"/>
                <w:szCs w:val="14"/>
              </w:rPr>
              <w:t>% af heildarfjárhæð greiddra launa</w:t>
            </w:r>
          </w:p>
        </w:tc>
        <w:tc>
          <w:tcPr>
            <w:tcW w:w="2506" w:type="pct"/>
          </w:tcPr>
          <w:p w14:paraId="1F213FA6" w14:textId="77777777" w:rsidR="0069266A" w:rsidRPr="0069266A" w:rsidRDefault="0069266A" w:rsidP="00E12F74">
            <w:pPr>
              <w:autoSpaceDE w:val="0"/>
              <w:autoSpaceDN w:val="0"/>
              <w:adjustRightInd w:val="0"/>
              <w:rPr>
                <w:sz w:val="6"/>
                <w:szCs w:val="6"/>
              </w:rPr>
            </w:pPr>
          </w:p>
          <w:p w14:paraId="1F213FA7" w14:textId="77777777" w:rsidR="0069266A" w:rsidRPr="00125CCC" w:rsidRDefault="0069266A" w:rsidP="00E12F74">
            <w:pPr>
              <w:autoSpaceDE w:val="0"/>
              <w:autoSpaceDN w:val="0"/>
              <w:adjustRightInd w:val="0"/>
              <w:rPr>
                <w:sz w:val="14"/>
                <w:szCs w:val="14"/>
              </w:rPr>
            </w:pPr>
            <w:r w:rsidRPr="00125CCC">
              <w:rPr>
                <w:sz w:val="14"/>
                <w:szCs w:val="14"/>
              </w:rPr>
              <w:t xml:space="preserve">Athugasemdir: </w:t>
            </w:r>
          </w:p>
        </w:tc>
      </w:tr>
      <w:tr w:rsidR="0069266A" w:rsidRPr="00125CCC" w14:paraId="1F213FAF" w14:textId="77777777" w:rsidTr="00E12F74">
        <w:tc>
          <w:tcPr>
            <w:tcW w:w="237" w:type="pct"/>
          </w:tcPr>
          <w:p w14:paraId="1F213FA9" w14:textId="77777777" w:rsidR="0069266A" w:rsidRPr="00623D48" w:rsidRDefault="0069266A" w:rsidP="00E12F74">
            <w:pPr>
              <w:autoSpaceDE w:val="0"/>
              <w:autoSpaceDN w:val="0"/>
              <w:adjustRightInd w:val="0"/>
              <w:rPr>
                <w:sz w:val="6"/>
                <w:szCs w:val="8"/>
              </w:rPr>
            </w:pPr>
          </w:p>
          <w:p w14:paraId="1F213FAA" w14:textId="77777777" w:rsidR="0069266A" w:rsidRPr="00125CCC" w:rsidRDefault="0069266A" w:rsidP="00E12F74">
            <w:pPr>
              <w:autoSpaceDE w:val="0"/>
              <w:autoSpaceDN w:val="0"/>
              <w:adjustRightInd w:val="0"/>
              <w:rPr>
                <w:sz w:val="14"/>
                <w:szCs w:val="14"/>
              </w:rPr>
            </w:pPr>
            <w:r>
              <w:rPr>
                <w:sz w:val="14"/>
                <w:szCs w:val="14"/>
              </w:rPr>
              <w:fldChar w:fldCharType="begin">
                <w:ffData>
                  <w:name w:val="Check2"/>
                  <w:enabled/>
                  <w:calcOnExit w:val="0"/>
                  <w:checkBox>
                    <w:sizeAuto/>
                    <w:default w:val="0"/>
                    <w:checked w:val="0"/>
                  </w:checkBox>
                </w:ffData>
              </w:fldChar>
            </w:r>
            <w:bookmarkStart w:id="7" w:name="Check2"/>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bookmarkEnd w:id="7"/>
          </w:p>
        </w:tc>
        <w:tc>
          <w:tcPr>
            <w:tcW w:w="2256" w:type="pct"/>
            <w:gridSpan w:val="5"/>
          </w:tcPr>
          <w:p w14:paraId="1F213FAB" w14:textId="77777777" w:rsidR="0069266A" w:rsidRPr="00623D48" w:rsidRDefault="0069266A" w:rsidP="00E12F74">
            <w:pPr>
              <w:autoSpaceDE w:val="0"/>
              <w:autoSpaceDN w:val="0"/>
              <w:adjustRightInd w:val="0"/>
              <w:rPr>
                <w:sz w:val="6"/>
                <w:szCs w:val="6"/>
              </w:rPr>
            </w:pPr>
          </w:p>
          <w:p w14:paraId="1F213FAC" w14:textId="77777777" w:rsidR="0069266A" w:rsidRPr="00125CCC" w:rsidRDefault="0069266A" w:rsidP="00E12F74">
            <w:pPr>
              <w:autoSpaceDE w:val="0"/>
              <w:autoSpaceDN w:val="0"/>
              <w:adjustRightInd w:val="0"/>
              <w:rPr>
                <w:sz w:val="14"/>
                <w:szCs w:val="14"/>
              </w:rPr>
            </w:pPr>
            <w:r w:rsidRPr="00125CCC">
              <w:rPr>
                <w:sz w:val="14"/>
                <w:szCs w:val="14"/>
              </w:rPr>
              <w:t>2% af heildarfjárhæð greiddra launa</w:t>
            </w:r>
          </w:p>
        </w:tc>
        <w:tc>
          <w:tcPr>
            <w:tcW w:w="2506" w:type="pct"/>
            <w:tcBorders>
              <w:bottom w:val="single" w:sz="2" w:space="0" w:color="auto"/>
            </w:tcBorders>
          </w:tcPr>
          <w:p w14:paraId="1F213FAD" w14:textId="77777777" w:rsidR="0069266A" w:rsidRPr="00623D48" w:rsidRDefault="0069266A" w:rsidP="00E12F74">
            <w:pPr>
              <w:autoSpaceDE w:val="0"/>
              <w:autoSpaceDN w:val="0"/>
              <w:adjustRightInd w:val="0"/>
              <w:rPr>
                <w:sz w:val="6"/>
                <w:szCs w:val="6"/>
              </w:rPr>
            </w:pPr>
          </w:p>
          <w:bookmarkStart w:id="8" w:name="Ath1"/>
          <w:p w14:paraId="1F213FAE" w14:textId="77777777" w:rsidR="0069266A" w:rsidRPr="00125CCC" w:rsidRDefault="0069266A" w:rsidP="00E12F74">
            <w:pPr>
              <w:autoSpaceDE w:val="0"/>
              <w:autoSpaceDN w:val="0"/>
              <w:adjustRightInd w:val="0"/>
              <w:rPr>
                <w:sz w:val="12"/>
                <w:szCs w:val="12"/>
              </w:rPr>
            </w:pPr>
            <w:r w:rsidRPr="00125CCC">
              <w:rPr>
                <w:sz w:val="12"/>
                <w:szCs w:val="12"/>
              </w:rPr>
              <w:fldChar w:fldCharType="begin">
                <w:ffData>
                  <w:name w:val="Ath1"/>
                  <w:enabled/>
                  <w:calcOnExit w:val="0"/>
                  <w:textInput>
                    <w:maxLength w:val="50"/>
                  </w:textInput>
                </w:ffData>
              </w:fldChar>
            </w:r>
            <w:r w:rsidRPr="00125CCC">
              <w:rPr>
                <w:sz w:val="12"/>
                <w:szCs w:val="12"/>
              </w:rPr>
              <w:instrText xml:space="preserve"> FORMTEXT </w:instrText>
            </w:r>
            <w:r w:rsidRPr="00125CCC">
              <w:rPr>
                <w:sz w:val="12"/>
                <w:szCs w:val="12"/>
              </w:rPr>
            </w:r>
            <w:r w:rsidRPr="00125CCC">
              <w:rPr>
                <w:sz w:val="12"/>
                <w:szCs w:val="12"/>
              </w:rPr>
              <w:fldChar w:fldCharType="separate"/>
            </w:r>
            <w:r w:rsidRPr="00125CCC">
              <w:rPr>
                <w:sz w:val="12"/>
                <w:szCs w:val="12"/>
              </w:rPr>
              <w:t> </w:t>
            </w:r>
            <w:r w:rsidRPr="00125CCC">
              <w:rPr>
                <w:sz w:val="12"/>
                <w:szCs w:val="12"/>
              </w:rPr>
              <w:t> </w:t>
            </w:r>
            <w:r w:rsidRPr="00125CCC">
              <w:rPr>
                <w:sz w:val="12"/>
                <w:szCs w:val="12"/>
              </w:rPr>
              <w:t> </w:t>
            </w:r>
            <w:r w:rsidRPr="00125CCC">
              <w:rPr>
                <w:sz w:val="12"/>
                <w:szCs w:val="12"/>
              </w:rPr>
              <w:t> </w:t>
            </w:r>
            <w:r w:rsidRPr="00125CCC">
              <w:rPr>
                <w:sz w:val="12"/>
                <w:szCs w:val="12"/>
              </w:rPr>
              <w:t> </w:t>
            </w:r>
            <w:r w:rsidRPr="00125CCC">
              <w:rPr>
                <w:sz w:val="12"/>
                <w:szCs w:val="12"/>
              </w:rPr>
              <w:fldChar w:fldCharType="end"/>
            </w:r>
            <w:bookmarkEnd w:id="8"/>
          </w:p>
        </w:tc>
      </w:tr>
      <w:tr w:rsidR="0069266A" w:rsidRPr="00125CCC" w14:paraId="1F213FBA" w14:textId="77777777" w:rsidTr="00623D48">
        <w:tc>
          <w:tcPr>
            <w:tcW w:w="237" w:type="pct"/>
          </w:tcPr>
          <w:p w14:paraId="1F213FB0" w14:textId="77777777" w:rsidR="0069266A" w:rsidRPr="00623D48" w:rsidRDefault="0069266A" w:rsidP="00E12F74">
            <w:pPr>
              <w:autoSpaceDE w:val="0"/>
              <w:autoSpaceDN w:val="0"/>
              <w:adjustRightInd w:val="0"/>
              <w:rPr>
                <w:sz w:val="6"/>
                <w:szCs w:val="8"/>
              </w:rPr>
            </w:pPr>
          </w:p>
          <w:p w14:paraId="1F213FB1" w14:textId="77777777" w:rsidR="0069266A" w:rsidRPr="00125CCC" w:rsidRDefault="0069266A" w:rsidP="00E12F74">
            <w:pPr>
              <w:autoSpaceDE w:val="0"/>
              <w:autoSpaceDN w:val="0"/>
              <w:adjustRightInd w:val="0"/>
              <w:rPr>
                <w:sz w:val="14"/>
                <w:szCs w:val="14"/>
              </w:rPr>
            </w:pPr>
            <w:r>
              <w:rPr>
                <w:sz w:val="14"/>
                <w:szCs w:val="14"/>
              </w:rPr>
              <w:fldChar w:fldCharType="begin">
                <w:ffData>
                  <w:name w:val="Check3"/>
                  <w:enabled/>
                  <w:calcOnExit w:val="0"/>
                  <w:checkBox>
                    <w:sizeAuto/>
                    <w:default w:val="0"/>
                  </w:checkBox>
                </w:ffData>
              </w:fldChar>
            </w:r>
            <w:bookmarkStart w:id="9" w:name="Check3"/>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bookmarkEnd w:id="9"/>
          </w:p>
        </w:tc>
        <w:tc>
          <w:tcPr>
            <w:tcW w:w="1249" w:type="pct"/>
            <w:gridSpan w:val="2"/>
          </w:tcPr>
          <w:p w14:paraId="1F213FB2" w14:textId="77777777" w:rsidR="0069266A" w:rsidRPr="00623D48" w:rsidRDefault="0069266A" w:rsidP="00E12F74">
            <w:pPr>
              <w:autoSpaceDE w:val="0"/>
              <w:autoSpaceDN w:val="0"/>
              <w:adjustRightInd w:val="0"/>
              <w:rPr>
                <w:sz w:val="6"/>
                <w:szCs w:val="6"/>
              </w:rPr>
            </w:pPr>
          </w:p>
          <w:p w14:paraId="1F213FB3" w14:textId="77777777" w:rsidR="0069266A" w:rsidRPr="00125CCC" w:rsidRDefault="0069266A" w:rsidP="00E12F74">
            <w:pPr>
              <w:autoSpaceDE w:val="0"/>
              <w:autoSpaceDN w:val="0"/>
              <w:adjustRightInd w:val="0"/>
              <w:rPr>
                <w:sz w:val="14"/>
                <w:szCs w:val="14"/>
              </w:rPr>
            </w:pPr>
            <w:r w:rsidRPr="00125CCC">
              <w:rPr>
                <w:sz w:val="14"/>
                <w:szCs w:val="14"/>
              </w:rPr>
              <w:t>Annað hlutfall af launum</w:t>
            </w:r>
          </w:p>
        </w:tc>
        <w:tc>
          <w:tcPr>
            <w:tcW w:w="452" w:type="pct"/>
            <w:tcBorders>
              <w:bottom w:val="single" w:sz="2" w:space="0" w:color="auto"/>
            </w:tcBorders>
          </w:tcPr>
          <w:p w14:paraId="1F213FB4" w14:textId="77777777" w:rsidR="0069266A" w:rsidRPr="00623D48" w:rsidRDefault="0069266A" w:rsidP="00623D48">
            <w:pPr>
              <w:autoSpaceDE w:val="0"/>
              <w:autoSpaceDN w:val="0"/>
              <w:adjustRightInd w:val="0"/>
              <w:jc w:val="right"/>
              <w:rPr>
                <w:sz w:val="6"/>
                <w:szCs w:val="6"/>
              </w:rPr>
            </w:pPr>
          </w:p>
          <w:bookmarkStart w:id="10" w:name="InnbAnnadHlutfal"/>
          <w:p w14:paraId="1F213FB5" w14:textId="77777777" w:rsidR="0069266A" w:rsidRPr="00125CCC" w:rsidRDefault="0069266A" w:rsidP="00623D48">
            <w:pPr>
              <w:autoSpaceDE w:val="0"/>
              <w:autoSpaceDN w:val="0"/>
              <w:adjustRightInd w:val="0"/>
              <w:jc w:val="right"/>
              <w:rPr>
                <w:sz w:val="12"/>
                <w:szCs w:val="12"/>
              </w:rPr>
            </w:pPr>
            <w:r w:rsidRPr="00125CCC">
              <w:rPr>
                <w:sz w:val="12"/>
                <w:szCs w:val="12"/>
              </w:rPr>
              <w:fldChar w:fldCharType="begin">
                <w:ffData>
                  <w:name w:val="InnbAnnadHlutfal"/>
                  <w:enabled/>
                  <w:calcOnExit w:val="0"/>
                  <w:textInput>
                    <w:maxLength w:val="2"/>
                  </w:textInput>
                </w:ffData>
              </w:fldChar>
            </w:r>
            <w:r w:rsidRPr="00125CCC">
              <w:rPr>
                <w:sz w:val="12"/>
                <w:szCs w:val="12"/>
              </w:rPr>
              <w:instrText xml:space="preserve"> FORMTEXT </w:instrText>
            </w:r>
            <w:r w:rsidRPr="00125CCC">
              <w:rPr>
                <w:sz w:val="12"/>
                <w:szCs w:val="12"/>
              </w:rPr>
            </w:r>
            <w:r w:rsidRPr="00125CCC">
              <w:rPr>
                <w:sz w:val="12"/>
                <w:szCs w:val="12"/>
              </w:rPr>
              <w:fldChar w:fldCharType="separate"/>
            </w:r>
            <w:r w:rsidRPr="00125CCC">
              <w:rPr>
                <w:sz w:val="12"/>
                <w:szCs w:val="12"/>
              </w:rPr>
              <w:t> </w:t>
            </w:r>
            <w:r w:rsidRPr="00125CCC">
              <w:rPr>
                <w:sz w:val="12"/>
                <w:szCs w:val="12"/>
              </w:rPr>
              <w:t> </w:t>
            </w:r>
            <w:r w:rsidRPr="00125CCC">
              <w:rPr>
                <w:sz w:val="12"/>
                <w:szCs w:val="12"/>
              </w:rPr>
              <w:fldChar w:fldCharType="end"/>
            </w:r>
            <w:bookmarkEnd w:id="10"/>
          </w:p>
        </w:tc>
        <w:tc>
          <w:tcPr>
            <w:tcW w:w="555" w:type="pct"/>
            <w:gridSpan w:val="2"/>
          </w:tcPr>
          <w:p w14:paraId="1F213FB6" w14:textId="77777777" w:rsidR="0069266A" w:rsidRPr="00623D48" w:rsidRDefault="0069266A" w:rsidP="00E12F74">
            <w:pPr>
              <w:autoSpaceDE w:val="0"/>
              <w:autoSpaceDN w:val="0"/>
              <w:adjustRightInd w:val="0"/>
              <w:rPr>
                <w:sz w:val="6"/>
                <w:szCs w:val="6"/>
              </w:rPr>
            </w:pPr>
          </w:p>
          <w:p w14:paraId="1F213FB7" w14:textId="77777777" w:rsidR="0069266A" w:rsidRPr="00125CCC" w:rsidRDefault="0069266A" w:rsidP="00E12F74">
            <w:pPr>
              <w:autoSpaceDE w:val="0"/>
              <w:autoSpaceDN w:val="0"/>
              <w:adjustRightInd w:val="0"/>
              <w:rPr>
                <w:sz w:val="12"/>
                <w:szCs w:val="12"/>
              </w:rPr>
            </w:pPr>
            <w:r w:rsidRPr="00125CCC">
              <w:rPr>
                <w:sz w:val="12"/>
                <w:szCs w:val="12"/>
              </w:rPr>
              <w:t>%</w:t>
            </w:r>
          </w:p>
        </w:tc>
        <w:tc>
          <w:tcPr>
            <w:tcW w:w="2506" w:type="pct"/>
            <w:tcBorders>
              <w:top w:val="single" w:sz="2" w:space="0" w:color="auto"/>
              <w:bottom w:val="single" w:sz="2" w:space="0" w:color="auto"/>
            </w:tcBorders>
          </w:tcPr>
          <w:p w14:paraId="1F213FB8" w14:textId="77777777" w:rsidR="0069266A" w:rsidRPr="00623D48" w:rsidRDefault="0069266A" w:rsidP="00E12F74">
            <w:pPr>
              <w:autoSpaceDE w:val="0"/>
              <w:autoSpaceDN w:val="0"/>
              <w:adjustRightInd w:val="0"/>
              <w:rPr>
                <w:sz w:val="6"/>
                <w:szCs w:val="6"/>
              </w:rPr>
            </w:pPr>
          </w:p>
          <w:bookmarkStart w:id="11" w:name="Ath2"/>
          <w:p w14:paraId="1F213FB9" w14:textId="77777777" w:rsidR="0069266A" w:rsidRPr="00125CCC" w:rsidRDefault="0069266A" w:rsidP="00E12F74">
            <w:pPr>
              <w:autoSpaceDE w:val="0"/>
              <w:autoSpaceDN w:val="0"/>
              <w:adjustRightInd w:val="0"/>
              <w:rPr>
                <w:sz w:val="12"/>
                <w:szCs w:val="12"/>
              </w:rPr>
            </w:pPr>
            <w:r w:rsidRPr="00125CCC">
              <w:rPr>
                <w:sz w:val="12"/>
                <w:szCs w:val="12"/>
              </w:rPr>
              <w:fldChar w:fldCharType="begin">
                <w:ffData>
                  <w:name w:val="Ath2"/>
                  <w:enabled/>
                  <w:calcOnExit w:val="0"/>
                  <w:textInput>
                    <w:maxLength w:val="65"/>
                  </w:textInput>
                </w:ffData>
              </w:fldChar>
            </w:r>
            <w:r w:rsidRPr="00125CCC">
              <w:rPr>
                <w:sz w:val="12"/>
                <w:szCs w:val="12"/>
              </w:rPr>
              <w:instrText xml:space="preserve"> FORMTEXT </w:instrText>
            </w:r>
            <w:r w:rsidRPr="00125CCC">
              <w:rPr>
                <w:sz w:val="12"/>
                <w:szCs w:val="12"/>
              </w:rPr>
            </w:r>
            <w:r w:rsidRPr="00125CCC">
              <w:rPr>
                <w:sz w:val="12"/>
                <w:szCs w:val="12"/>
              </w:rPr>
              <w:fldChar w:fldCharType="separate"/>
            </w:r>
            <w:r w:rsidRPr="00125CCC">
              <w:rPr>
                <w:sz w:val="12"/>
                <w:szCs w:val="12"/>
              </w:rPr>
              <w:t> </w:t>
            </w:r>
            <w:r w:rsidRPr="00125CCC">
              <w:rPr>
                <w:sz w:val="12"/>
                <w:szCs w:val="12"/>
              </w:rPr>
              <w:t> </w:t>
            </w:r>
            <w:r w:rsidRPr="00125CCC">
              <w:rPr>
                <w:sz w:val="12"/>
                <w:szCs w:val="12"/>
              </w:rPr>
              <w:t> </w:t>
            </w:r>
            <w:r w:rsidRPr="00125CCC">
              <w:rPr>
                <w:sz w:val="12"/>
                <w:szCs w:val="12"/>
              </w:rPr>
              <w:t> </w:t>
            </w:r>
            <w:r w:rsidRPr="00125CCC">
              <w:rPr>
                <w:sz w:val="12"/>
                <w:szCs w:val="12"/>
              </w:rPr>
              <w:t> </w:t>
            </w:r>
            <w:r w:rsidRPr="00125CCC">
              <w:rPr>
                <w:sz w:val="12"/>
                <w:szCs w:val="12"/>
              </w:rPr>
              <w:fldChar w:fldCharType="end"/>
            </w:r>
            <w:bookmarkEnd w:id="11"/>
          </w:p>
        </w:tc>
      </w:tr>
      <w:tr w:rsidR="0069266A" w:rsidRPr="00125CCC" w14:paraId="1F213FC5" w14:textId="77777777" w:rsidTr="00623D48">
        <w:tc>
          <w:tcPr>
            <w:tcW w:w="237" w:type="pct"/>
          </w:tcPr>
          <w:p w14:paraId="1F213FBB" w14:textId="77777777" w:rsidR="0069266A" w:rsidRPr="00623D48" w:rsidRDefault="0069266A" w:rsidP="00E12F74">
            <w:pPr>
              <w:autoSpaceDE w:val="0"/>
              <w:autoSpaceDN w:val="0"/>
              <w:adjustRightInd w:val="0"/>
              <w:rPr>
                <w:sz w:val="6"/>
                <w:szCs w:val="8"/>
              </w:rPr>
            </w:pPr>
          </w:p>
          <w:p w14:paraId="1F213FBC" w14:textId="77777777" w:rsidR="0069266A" w:rsidRPr="00125CCC" w:rsidRDefault="0069266A" w:rsidP="00E12F74">
            <w:pPr>
              <w:autoSpaceDE w:val="0"/>
              <w:autoSpaceDN w:val="0"/>
              <w:adjustRightInd w:val="0"/>
              <w:rPr>
                <w:sz w:val="14"/>
                <w:szCs w:val="14"/>
              </w:rPr>
            </w:pPr>
            <w:r>
              <w:rPr>
                <w:sz w:val="14"/>
                <w:szCs w:val="14"/>
              </w:rPr>
              <w:fldChar w:fldCharType="begin">
                <w:ffData>
                  <w:name w:val="Check4"/>
                  <w:enabled/>
                  <w:calcOnExit w:val="0"/>
                  <w:checkBox>
                    <w:sizeAuto/>
                    <w:default w:val="0"/>
                  </w:checkBox>
                </w:ffData>
              </w:fldChar>
            </w:r>
            <w:bookmarkStart w:id="12" w:name="Check4"/>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bookmarkEnd w:id="12"/>
          </w:p>
        </w:tc>
        <w:tc>
          <w:tcPr>
            <w:tcW w:w="639" w:type="pct"/>
          </w:tcPr>
          <w:p w14:paraId="1F213FBD" w14:textId="77777777" w:rsidR="0069266A" w:rsidRPr="00623D48" w:rsidRDefault="0069266A" w:rsidP="00E12F74">
            <w:pPr>
              <w:autoSpaceDE w:val="0"/>
              <w:autoSpaceDN w:val="0"/>
              <w:adjustRightInd w:val="0"/>
              <w:rPr>
                <w:sz w:val="6"/>
                <w:szCs w:val="6"/>
              </w:rPr>
            </w:pPr>
          </w:p>
          <w:p w14:paraId="1F213FBE" w14:textId="77777777" w:rsidR="0069266A" w:rsidRPr="00125CCC" w:rsidRDefault="0069266A" w:rsidP="00E12F74">
            <w:pPr>
              <w:autoSpaceDE w:val="0"/>
              <w:autoSpaceDN w:val="0"/>
              <w:adjustRightInd w:val="0"/>
              <w:rPr>
                <w:sz w:val="14"/>
                <w:szCs w:val="14"/>
              </w:rPr>
            </w:pPr>
            <w:r w:rsidRPr="00125CCC">
              <w:rPr>
                <w:sz w:val="14"/>
                <w:szCs w:val="14"/>
              </w:rPr>
              <w:t xml:space="preserve">Föst fjárhæð </w:t>
            </w:r>
          </w:p>
        </w:tc>
        <w:tc>
          <w:tcPr>
            <w:tcW w:w="1065" w:type="pct"/>
            <w:gridSpan w:val="3"/>
            <w:tcBorders>
              <w:bottom w:val="single" w:sz="2" w:space="0" w:color="auto"/>
            </w:tcBorders>
          </w:tcPr>
          <w:p w14:paraId="1F213FBF" w14:textId="77777777" w:rsidR="0069266A" w:rsidRPr="00623D48" w:rsidRDefault="0069266A" w:rsidP="00623D48">
            <w:pPr>
              <w:autoSpaceDE w:val="0"/>
              <w:autoSpaceDN w:val="0"/>
              <w:adjustRightInd w:val="0"/>
              <w:jc w:val="right"/>
              <w:rPr>
                <w:sz w:val="6"/>
                <w:szCs w:val="6"/>
              </w:rPr>
            </w:pPr>
          </w:p>
          <w:bookmarkStart w:id="13" w:name="InnbFostFjarhaed"/>
          <w:p w14:paraId="1F213FC0" w14:textId="77777777" w:rsidR="0069266A" w:rsidRPr="00125CCC" w:rsidRDefault="0069266A" w:rsidP="00623D48">
            <w:pPr>
              <w:autoSpaceDE w:val="0"/>
              <w:autoSpaceDN w:val="0"/>
              <w:adjustRightInd w:val="0"/>
              <w:jc w:val="right"/>
              <w:rPr>
                <w:sz w:val="12"/>
                <w:szCs w:val="12"/>
              </w:rPr>
            </w:pPr>
            <w:r w:rsidRPr="00125CCC">
              <w:rPr>
                <w:sz w:val="12"/>
                <w:szCs w:val="12"/>
              </w:rPr>
              <w:fldChar w:fldCharType="begin">
                <w:ffData>
                  <w:name w:val="InnbFostFjarhaed"/>
                  <w:enabled/>
                  <w:calcOnExit w:val="0"/>
                  <w:textInput>
                    <w:maxLength w:val="7"/>
                  </w:textInput>
                </w:ffData>
              </w:fldChar>
            </w:r>
            <w:r w:rsidRPr="00125CCC">
              <w:rPr>
                <w:sz w:val="12"/>
                <w:szCs w:val="12"/>
              </w:rPr>
              <w:instrText xml:space="preserve"> FORMTEXT </w:instrText>
            </w:r>
            <w:r w:rsidRPr="00125CCC">
              <w:rPr>
                <w:sz w:val="12"/>
                <w:szCs w:val="12"/>
              </w:rPr>
            </w:r>
            <w:r w:rsidRPr="00125CCC">
              <w:rPr>
                <w:sz w:val="12"/>
                <w:szCs w:val="12"/>
              </w:rPr>
              <w:fldChar w:fldCharType="separate"/>
            </w:r>
            <w:r w:rsidRPr="00125CCC">
              <w:rPr>
                <w:sz w:val="12"/>
                <w:szCs w:val="12"/>
              </w:rPr>
              <w:t> </w:t>
            </w:r>
            <w:r w:rsidRPr="00125CCC">
              <w:rPr>
                <w:sz w:val="12"/>
                <w:szCs w:val="12"/>
              </w:rPr>
              <w:t> </w:t>
            </w:r>
            <w:r w:rsidRPr="00125CCC">
              <w:rPr>
                <w:sz w:val="12"/>
                <w:szCs w:val="12"/>
              </w:rPr>
              <w:t> </w:t>
            </w:r>
            <w:r w:rsidRPr="00125CCC">
              <w:rPr>
                <w:sz w:val="12"/>
                <w:szCs w:val="12"/>
              </w:rPr>
              <w:t> </w:t>
            </w:r>
            <w:r w:rsidRPr="00125CCC">
              <w:rPr>
                <w:sz w:val="12"/>
                <w:szCs w:val="12"/>
              </w:rPr>
              <w:t> </w:t>
            </w:r>
            <w:r w:rsidRPr="00125CCC">
              <w:rPr>
                <w:sz w:val="12"/>
                <w:szCs w:val="12"/>
              </w:rPr>
              <w:fldChar w:fldCharType="end"/>
            </w:r>
            <w:bookmarkEnd w:id="13"/>
          </w:p>
        </w:tc>
        <w:tc>
          <w:tcPr>
            <w:tcW w:w="552" w:type="pct"/>
          </w:tcPr>
          <w:p w14:paraId="1F213FC1" w14:textId="77777777" w:rsidR="0069266A" w:rsidRPr="00623D48" w:rsidRDefault="0069266A" w:rsidP="00E12F74">
            <w:pPr>
              <w:autoSpaceDE w:val="0"/>
              <w:autoSpaceDN w:val="0"/>
              <w:adjustRightInd w:val="0"/>
              <w:rPr>
                <w:sz w:val="6"/>
                <w:szCs w:val="6"/>
              </w:rPr>
            </w:pPr>
          </w:p>
          <w:p w14:paraId="1F213FC2" w14:textId="77777777" w:rsidR="0069266A" w:rsidRPr="00125CCC" w:rsidRDefault="0069266A" w:rsidP="00E12F74">
            <w:pPr>
              <w:autoSpaceDE w:val="0"/>
              <w:autoSpaceDN w:val="0"/>
              <w:adjustRightInd w:val="0"/>
              <w:rPr>
                <w:sz w:val="12"/>
                <w:szCs w:val="12"/>
              </w:rPr>
            </w:pPr>
            <w:r w:rsidRPr="00125CCC">
              <w:rPr>
                <w:sz w:val="12"/>
                <w:szCs w:val="12"/>
              </w:rPr>
              <w:t>kr.</w:t>
            </w:r>
          </w:p>
        </w:tc>
        <w:tc>
          <w:tcPr>
            <w:tcW w:w="2506" w:type="pct"/>
            <w:tcBorders>
              <w:top w:val="single" w:sz="2" w:space="0" w:color="auto"/>
              <w:bottom w:val="single" w:sz="2" w:space="0" w:color="auto"/>
            </w:tcBorders>
          </w:tcPr>
          <w:p w14:paraId="1F213FC3" w14:textId="77777777" w:rsidR="0069266A" w:rsidRPr="00623D48" w:rsidRDefault="0069266A" w:rsidP="00E12F74">
            <w:pPr>
              <w:autoSpaceDE w:val="0"/>
              <w:autoSpaceDN w:val="0"/>
              <w:adjustRightInd w:val="0"/>
              <w:rPr>
                <w:sz w:val="6"/>
                <w:szCs w:val="6"/>
              </w:rPr>
            </w:pPr>
          </w:p>
          <w:bookmarkStart w:id="14" w:name="Ath3"/>
          <w:p w14:paraId="1F213FC4" w14:textId="77777777" w:rsidR="0069266A" w:rsidRPr="00125CCC" w:rsidRDefault="0069266A" w:rsidP="00E12F74">
            <w:pPr>
              <w:autoSpaceDE w:val="0"/>
              <w:autoSpaceDN w:val="0"/>
              <w:adjustRightInd w:val="0"/>
              <w:rPr>
                <w:sz w:val="12"/>
                <w:szCs w:val="12"/>
              </w:rPr>
            </w:pPr>
            <w:r w:rsidRPr="00125CCC">
              <w:rPr>
                <w:sz w:val="12"/>
                <w:szCs w:val="12"/>
              </w:rPr>
              <w:fldChar w:fldCharType="begin">
                <w:ffData>
                  <w:name w:val="Ath3"/>
                  <w:enabled/>
                  <w:calcOnExit w:val="0"/>
                  <w:textInput>
                    <w:maxLength w:val="65"/>
                  </w:textInput>
                </w:ffData>
              </w:fldChar>
            </w:r>
            <w:r w:rsidRPr="00125CCC">
              <w:rPr>
                <w:sz w:val="12"/>
                <w:szCs w:val="12"/>
              </w:rPr>
              <w:instrText xml:space="preserve"> FORMTEXT </w:instrText>
            </w:r>
            <w:r w:rsidRPr="00125CCC">
              <w:rPr>
                <w:sz w:val="12"/>
                <w:szCs w:val="12"/>
              </w:rPr>
            </w:r>
            <w:r w:rsidRPr="00125CCC">
              <w:rPr>
                <w:sz w:val="12"/>
                <w:szCs w:val="12"/>
              </w:rPr>
              <w:fldChar w:fldCharType="separate"/>
            </w:r>
            <w:r w:rsidRPr="00125CCC">
              <w:rPr>
                <w:sz w:val="12"/>
                <w:szCs w:val="12"/>
              </w:rPr>
              <w:t> </w:t>
            </w:r>
            <w:r w:rsidRPr="00125CCC">
              <w:rPr>
                <w:sz w:val="12"/>
                <w:szCs w:val="12"/>
              </w:rPr>
              <w:t> </w:t>
            </w:r>
            <w:r w:rsidRPr="00125CCC">
              <w:rPr>
                <w:sz w:val="12"/>
                <w:szCs w:val="12"/>
              </w:rPr>
              <w:t> </w:t>
            </w:r>
            <w:r w:rsidRPr="00125CCC">
              <w:rPr>
                <w:sz w:val="12"/>
                <w:szCs w:val="12"/>
              </w:rPr>
              <w:t> </w:t>
            </w:r>
            <w:r w:rsidRPr="00125CCC">
              <w:rPr>
                <w:sz w:val="12"/>
                <w:szCs w:val="12"/>
              </w:rPr>
              <w:t> </w:t>
            </w:r>
            <w:r w:rsidRPr="00125CCC">
              <w:rPr>
                <w:sz w:val="12"/>
                <w:szCs w:val="12"/>
              </w:rPr>
              <w:fldChar w:fldCharType="end"/>
            </w:r>
            <w:bookmarkEnd w:id="14"/>
          </w:p>
        </w:tc>
      </w:tr>
    </w:tbl>
    <w:p w14:paraId="1F213FC6" w14:textId="77777777" w:rsidR="0069266A" w:rsidRPr="0069266A" w:rsidRDefault="0069266A" w:rsidP="0069266A">
      <w:pPr>
        <w:jc w:val="both"/>
        <w:rPr>
          <w:sz w:val="6"/>
          <w:szCs w:val="8"/>
        </w:rPr>
      </w:pPr>
    </w:p>
    <w:p w14:paraId="1F213FC7" w14:textId="77777777" w:rsidR="0069266A" w:rsidRPr="00AE770A" w:rsidRDefault="0069266A" w:rsidP="0069266A">
      <w:pPr>
        <w:jc w:val="both"/>
        <w:outlineLvl w:val="0"/>
        <w:rPr>
          <w:b/>
          <w:sz w:val="16"/>
          <w:szCs w:val="18"/>
        </w:rPr>
      </w:pPr>
      <w:r w:rsidRPr="00AE770A">
        <w:rPr>
          <w:b/>
          <w:sz w:val="16"/>
          <w:szCs w:val="18"/>
        </w:rPr>
        <w:t>Val um fjárfestingarleið</w:t>
      </w:r>
    </w:p>
    <w:p w14:paraId="1F213FC8" w14:textId="77777777" w:rsidR="0069266A" w:rsidRPr="00125CCC" w:rsidRDefault="0069266A" w:rsidP="0069266A">
      <w:pPr>
        <w:tabs>
          <w:tab w:val="left" w:pos="2184"/>
        </w:tabs>
        <w:jc w:val="both"/>
        <w:rPr>
          <w:sz w:val="14"/>
          <w:szCs w:val="14"/>
        </w:rPr>
      </w:pPr>
      <w:r w:rsidRPr="00125CCC">
        <w:rPr>
          <w:sz w:val="14"/>
          <w:szCs w:val="14"/>
        </w:rPr>
        <w:t xml:space="preserve">Velja skal eina eða tvær af eftirfarandi fjárfestingarleiðum. </w:t>
      </w:r>
      <w:r w:rsidRPr="00125CCC">
        <w:rPr>
          <w:b/>
          <w:sz w:val="14"/>
          <w:szCs w:val="14"/>
        </w:rPr>
        <w:t xml:space="preserve">Þó er ekki hægt að velja tvær leiðir ef Ævilína er valin. </w:t>
      </w:r>
      <w:r w:rsidRPr="00125CCC">
        <w:rPr>
          <w:sz w:val="14"/>
          <w:szCs w:val="14"/>
        </w:rPr>
        <w:t>Ef valdar eru tvær leiðir mun iðgjaldið skiptast jafnt á milli þeirra. Ef engin leið er valin er gert ráð fyrir að ávöxtu</w:t>
      </w:r>
      <w:r w:rsidR="007559E2">
        <w:rPr>
          <w:sz w:val="14"/>
          <w:szCs w:val="14"/>
        </w:rPr>
        <w:t>n verði háttað samkvæmt Ævilínu</w:t>
      </w:r>
      <w:r w:rsidRPr="00125CCC">
        <w:rPr>
          <w:sz w:val="14"/>
          <w:szCs w:val="14"/>
        </w:rPr>
        <w:t xml:space="preserve">. </w:t>
      </w:r>
      <w:r>
        <w:rPr>
          <w:sz w:val="14"/>
          <w:szCs w:val="14"/>
        </w:rPr>
        <w:t>Val</w:t>
      </w:r>
      <w:r w:rsidRPr="00125CCC">
        <w:rPr>
          <w:sz w:val="14"/>
          <w:szCs w:val="14"/>
        </w:rPr>
        <w:t xml:space="preserve"> á fjárfestingarleið á samningi þessum yfirtekur fyrra val á fjárfestingarleið og getur falið í sér flutning á milli fjárfestingarleiða ef </w:t>
      </w:r>
      <w:r>
        <w:rPr>
          <w:sz w:val="14"/>
          <w:szCs w:val="14"/>
        </w:rPr>
        <w:t xml:space="preserve">Ævilína er valin, </w:t>
      </w:r>
      <w:r w:rsidRPr="00125CCC">
        <w:rPr>
          <w:sz w:val="14"/>
          <w:szCs w:val="14"/>
        </w:rPr>
        <w:t>sjá nánar í 6. gr. reglna um Lífeyrisauka</w:t>
      </w:r>
      <w:r>
        <w:rPr>
          <w:sz w:val="14"/>
          <w:szCs w:val="14"/>
        </w:rPr>
        <w:t>, á baksíðu</w:t>
      </w:r>
      <w:r w:rsidRPr="00125CCC">
        <w:rPr>
          <w:sz w:val="14"/>
          <w:szCs w:val="14"/>
        </w:rPr>
        <w:t>.</w:t>
      </w:r>
    </w:p>
    <w:p w14:paraId="1F213FC9" w14:textId="77777777" w:rsidR="0069266A" w:rsidRPr="00125CCC" w:rsidRDefault="0069266A" w:rsidP="0069266A">
      <w:pPr>
        <w:jc w:val="both"/>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410"/>
        <w:gridCol w:w="1124"/>
        <w:gridCol w:w="1157"/>
        <w:gridCol w:w="1277"/>
        <w:gridCol w:w="1415"/>
        <w:gridCol w:w="1273"/>
        <w:gridCol w:w="1216"/>
      </w:tblGrid>
      <w:tr w:rsidR="007559E2" w:rsidRPr="00125CCC" w14:paraId="1F213FDF" w14:textId="77777777" w:rsidTr="007559E2">
        <w:tc>
          <w:tcPr>
            <w:tcW w:w="498" w:type="pct"/>
            <w:tcBorders>
              <w:bottom w:val="single" w:sz="4" w:space="0" w:color="auto"/>
            </w:tcBorders>
          </w:tcPr>
          <w:p w14:paraId="1F213FCA" w14:textId="77777777" w:rsidR="007559E2" w:rsidRPr="00125CCC" w:rsidRDefault="007559E2" w:rsidP="00E12F74">
            <w:pPr>
              <w:tabs>
                <w:tab w:val="left" w:pos="2184"/>
              </w:tabs>
              <w:jc w:val="center"/>
              <w:rPr>
                <w:b/>
                <w:sz w:val="4"/>
                <w:szCs w:val="4"/>
              </w:rPr>
            </w:pPr>
          </w:p>
          <w:p w14:paraId="1F213FCB" w14:textId="77777777" w:rsidR="007559E2" w:rsidRPr="00125CCC" w:rsidRDefault="007559E2" w:rsidP="00E12F74">
            <w:pPr>
              <w:tabs>
                <w:tab w:val="left" w:pos="2184"/>
              </w:tabs>
              <w:jc w:val="center"/>
              <w:rPr>
                <w:b/>
                <w:sz w:val="14"/>
                <w:szCs w:val="14"/>
              </w:rPr>
            </w:pPr>
            <w:r w:rsidRPr="00125CCC">
              <w:rPr>
                <w:b/>
                <w:sz w:val="14"/>
                <w:szCs w:val="14"/>
              </w:rPr>
              <w:t>Val á leið</w:t>
            </w:r>
          </w:p>
          <w:p w14:paraId="1F213FCC" w14:textId="77777777" w:rsidR="007559E2" w:rsidRPr="00125CCC" w:rsidRDefault="007559E2" w:rsidP="00E12F74">
            <w:pPr>
              <w:tabs>
                <w:tab w:val="left" w:pos="2184"/>
              </w:tabs>
              <w:jc w:val="center"/>
              <w:rPr>
                <w:b/>
                <w:sz w:val="4"/>
                <w:szCs w:val="4"/>
              </w:rPr>
            </w:pPr>
          </w:p>
        </w:tc>
        <w:tc>
          <w:tcPr>
            <w:tcW w:w="715" w:type="pct"/>
            <w:tcBorders>
              <w:bottom w:val="single" w:sz="4" w:space="0" w:color="auto"/>
            </w:tcBorders>
            <w:shd w:val="clear" w:color="auto" w:fill="auto"/>
          </w:tcPr>
          <w:p w14:paraId="1F213FCD" w14:textId="77777777" w:rsidR="007559E2" w:rsidRPr="00125CCC" w:rsidRDefault="007559E2" w:rsidP="00E12F74">
            <w:pPr>
              <w:tabs>
                <w:tab w:val="left" w:pos="2184"/>
              </w:tabs>
              <w:rPr>
                <w:b/>
                <w:sz w:val="4"/>
                <w:szCs w:val="4"/>
              </w:rPr>
            </w:pPr>
          </w:p>
          <w:p w14:paraId="1F213FCE" w14:textId="77777777" w:rsidR="007559E2" w:rsidRPr="00125CCC" w:rsidRDefault="007559E2" w:rsidP="00E12F74">
            <w:pPr>
              <w:tabs>
                <w:tab w:val="left" w:pos="2184"/>
              </w:tabs>
              <w:rPr>
                <w:b/>
                <w:sz w:val="14"/>
                <w:szCs w:val="14"/>
              </w:rPr>
            </w:pPr>
            <w:r w:rsidRPr="00125CCC">
              <w:rPr>
                <w:b/>
                <w:sz w:val="14"/>
                <w:szCs w:val="14"/>
              </w:rPr>
              <w:t>Fjárfestingarleið</w:t>
            </w:r>
          </w:p>
          <w:p w14:paraId="1F213FCF" w14:textId="77777777" w:rsidR="007559E2" w:rsidRPr="00125CCC" w:rsidRDefault="007559E2" w:rsidP="00E12F74">
            <w:pPr>
              <w:tabs>
                <w:tab w:val="left" w:pos="2184"/>
              </w:tabs>
              <w:rPr>
                <w:b/>
                <w:sz w:val="4"/>
                <w:szCs w:val="4"/>
              </w:rPr>
            </w:pPr>
          </w:p>
        </w:tc>
        <w:tc>
          <w:tcPr>
            <w:tcW w:w="570" w:type="pct"/>
            <w:tcBorders>
              <w:bottom w:val="single" w:sz="4" w:space="0" w:color="auto"/>
            </w:tcBorders>
            <w:shd w:val="clear" w:color="auto" w:fill="auto"/>
          </w:tcPr>
          <w:p w14:paraId="1F213FD0" w14:textId="77777777" w:rsidR="007559E2" w:rsidRPr="00125CCC" w:rsidRDefault="007559E2" w:rsidP="00E12F74">
            <w:pPr>
              <w:tabs>
                <w:tab w:val="left" w:pos="2184"/>
              </w:tabs>
              <w:jc w:val="center"/>
              <w:rPr>
                <w:b/>
                <w:sz w:val="4"/>
                <w:szCs w:val="4"/>
              </w:rPr>
            </w:pPr>
          </w:p>
          <w:p w14:paraId="1F213FD1" w14:textId="77777777" w:rsidR="007559E2" w:rsidRPr="00125CCC" w:rsidRDefault="007559E2" w:rsidP="00E12F74">
            <w:pPr>
              <w:tabs>
                <w:tab w:val="left" w:pos="2184"/>
              </w:tabs>
              <w:jc w:val="center"/>
              <w:rPr>
                <w:sz w:val="14"/>
                <w:szCs w:val="14"/>
              </w:rPr>
            </w:pPr>
            <w:r w:rsidRPr="00125CCC">
              <w:rPr>
                <w:b/>
                <w:sz w:val="14"/>
                <w:szCs w:val="14"/>
              </w:rPr>
              <w:t>Innlend hlbr.*</w:t>
            </w:r>
          </w:p>
          <w:p w14:paraId="1F213FD2" w14:textId="77777777" w:rsidR="007559E2" w:rsidRPr="00125CCC" w:rsidRDefault="007559E2" w:rsidP="00E12F74">
            <w:pPr>
              <w:tabs>
                <w:tab w:val="left" w:pos="2184"/>
              </w:tabs>
              <w:jc w:val="center"/>
              <w:rPr>
                <w:b/>
                <w:sz w:val="4"/>
                <w:szCs w:val="4"/>
              </w:rPr>
            </w:pPr>
          </w:p>
        </w:tc>
        <w:tc>
          <w:tcPr>
            <w:tcW w:w="587" w:type="pct"/>
            <w:tcBorders>
              <w:bottom w:val="single" w:sz="4" w:space="0" w:color="auto"/>
            </w:tcBorders>
            <w:shd w:val="clear" w:color="auto" w:fill="auto"/>
          </w:tcPr>
          <w:p w14:paraId="1F213FD3" w14:textId="77777777" w:rsidR="007559E2" w:rsidRPr="00125CCC" w:rsidRDefault="007559E2" w:rsidP="00E12F74">
            <w:pPr>
              <w:tabs>
                <w:tab w:val="left" w:pos="2184"/>
              </w:tabs>
              <w:jc w:val="center"/>
              <w:rPr>
                <w:b/>
                <w:sz w:val="4"/>
                <w:szCs w:val="4"/>
              </w:rPr>
            </w:pPr>
          </w:p>
          <w:p w14:paraId="1F213FD4" w14:textId="77777777" w:rsidR="007559E2" w:rsidRPr="00125CCC" w:rsidRDefault="007559E2" w:rsidP="00E12F74">
            <w:pPr>
              <w:tabs>
                <w:tab w:val="left" w:pos="2184"/>
              </w:tabs>
              <w:jc w:val="center"/>
              <w:rPr>
                <w:b/>
                <w:sz w:val="4"/>
                <w:szCs w:val="4"/>
              </w:rPr>
            </w:pPr>
            <w:r w:rsidRPr="00125CCC">
              <w:rPr>
                <w:b/>
                <w:sz w:val="14"/>
                <w:szCs w:val="14"/>
              </w:rPr>
              <w:t>Innlend skbr.</w:t>
            </w:r>
          </w:p>
        </w:tc>
        <w:tc>
          <w:tcPr>
            <w:tcW w:w="648" w:type="pct"/>
            <w:tcBorders>
              <w:bottom w:val="single" w:sz="4" w:space="0" w:color="auto"/>
            </w:tcBorders>
            <w:shd w:val="clear" w:color="auto" w:fill="auto"/>
          </w:tcPr>
          <w:p w14:paraId="1F213FD5" w14:textId="77777777" w:rsidR="007559E2" w:rsidRPr="00125CCC" w:rsidRDefault="007559E2" w:rsidP="00E12F74">
            <w:pPr>
              <w:tabs>
                <w:tab w:val="left" w:pos="2184"/>
              </w:tabs>
              <w:jc w:val="center"/>
              <w:rPr>
                <w:b/>
                <w:sz w:val="4"/>
                <w:szCs w:val="4"/>
              </w:rPr>
            </w:pPr>
          </w:p>
          <w:p w14:paraId="1F213FD6" w14:textId="77777777" w:rsidR="007559E2" w:rsidRPr="00125CCC" w:rsidRDefault="007559E2" w:rsidP="00E12F74">
            <w:pPr>
              <w:tabs>
                <w:tab w:val="left" w:pos="2184"/>
              </w:tabs>
              <w:jc w:val="center"/>
              <w:rPr>
                <w:b/>
                <w:sz w:val="14"/>
                <w:szCs w:val="14"/>
              </w:rPr>
            </w:pPr>
            <w:r w:rsidRPr="00125CCC">
              <w:rPr>
                <w:b/>
                <w:sz w:val="14"/>
                <w:szCs w:val="14"/>
              </w:rPr>
              <w:t>Erlend hlbr.</w:t>
            </w:r>
          </w:p>
        </w:tc>
        <w:tc>
          <w:tcPr>
            <w:tcW w:w="718" w:type="pct"/>
            <w:tcBorders>
              <w:bottom w:val="single" w:sz="4" w:space="0" w:color="auto"/>
            </w:tcBorders>
            <w:shd w:val="clear" w:color="auto" w:fill="auto"/>
          </w:tcPr>
          <w:p w14:paraId="1F213FD7" w14:textId="77777777" w:rsidR="007559E2" w:rsidRPr="00125CCC" w:rsidRDefault="007559E2" w:rsidP="00E12F74">
            <w:pPr>
              <w:tabs>
                <w:tab w:val="left" w:pos="2184"/>
              </w:tabs>
              <w:jc w:val="center"/>
              <w:rPr>
                <w:b/>
                <w:sz w:val="4"/>
                <w:szCs w:val="4"/>
              </w:rPr>
            </w:pPr>
          </w:p>
          <w:p w14:paraId="1F213FD8" w14:textId="77777777" w:rsidR="007559E2" w:rsidRPr="00125CCC" w:rsidRDefault="007559E2" w:rsidP="00E12F74">
            <w:pPr>
              <w:tabs>
                <w:tab w:val="left" w:pos="2184"/>
              </w:tabs>
              <w:jc w:val="center"/>
              <w:rPr>
                <w:b/>
                <w:sz w:val="14"/>
                <w:szCs w:val="14"/>
              </w:rPr>
            </w:pPr>
            <w:r w:rsidRPr="00125CCC">
              <w:rPr>
                <w:b/>
                <w:sz w:val="14"/>
                <w:szCs w:val="14"/>
              </w:rPr>
              <w:t>Erlend skbr.</w:t>
            </w:r>
          </w:p>
        </w:tc>
        <w:tc>
          <w:tcPr>
            <w:tcW w:w="646" w:type="pct"/>
            <w:tcBorders>
              <w:bottom w:val="single" w:sz="4" w:space="0" w:color="auto"/>
            </w:tcBorders>
            <w:shd w:val="clear" w:color="auto" w:fill="auto"/>
          </w:tcPr>
          <w:p w14:paraId="1F213FD9" w14:textId="77777777" w:rsidR="007559E2" w:rsidRPr="00125CCC" w:rsidRDefault="007559E2" w:rsidP="00E12F74">
            <w:pPr>
              <w:tabs>
                <w:tab w:val="left" w:pos="2184"/>
              </w:tabs>
              <w:jc w:val="center"/>
              <w:rPr>
                <w:b/>
                <w:sz w:val="4"/>
                <w:szCs w:val="4"/>
              </w:rPr>
            </w:pPr>
          </w:p>
          <w:p w14:paraId="1F213FDA" w14:textId="77777777" w:rsidR="007559E2" w:rsidRPr="00125CCC" w:rsidRDefault="007559E2" w:rsidP="00E12F74">
            <w:pPr>
              <w:tabs>
                <w:tab w:val="left" w:pos="2184"/>
              </w:tabs>
              <w:jc w:val="center"/>
              <w:rPr>
                <w:b/>
                <w:sz w:val="14"/>
                <w:szCs w:val="14"/>
              </w:rPr>
            </w:pPr>
            <w:r w:rsidRPr="00125CCC">
              <w:rPr>
                <w:b/>
                <w:sz w:val="14"/>
                <w:szCs w:val="14"/>
              </w:rPr>
              <w:t>Innlán</w:t>
            </w:r>
          </w:p>
          <w:p w14:paraId="1F213FDB" w14:textId="77777777" w:rsidR="007559E2" w:rsidRPr="00125CCC" w:rsidRDefault="007559E2" w:rsidP="00E12F74">
            <w:pPr>
              <w:tabs>
                <w:tab w:val="left" w:pos="2184"/>
              </w:tabs>
              <w:jc w:val="center"/>
              <w:rPr>
                <w:b/>
                <w:sz w:val="4"/>
                <w:szCs w:val="4"/>
              </w:rPr>
            </w:pPr>
          </w:p>
        </w:tc>
        <w:tc>
          <w:tcPr>
            <w:tcW w:w="617" w:type="pct"/>
            <w:tcBorders>
              <w:bottom w:val="single" w:sz="4" w:space="0" w:color="auto"/>
            </w:tcBorders>
            <w:shd w:val="clear" w:color="auto" w:fill="auto"/>
          </w:tcPr>
          <w:p w14:paraId="1F213FDC" w14:textId="77777777" w:rsidR="007559E2" w:rsidRPr="00125CCC" w:rsidRDefault="007559E2" w:rsidP="00E12F74">
            <w:pPr>
              <w:tabs>
                <w:tab w:val="left" w:pos="2184"/>
              </w:tabs>
              <w:jc w:val="center"/>
              <w:rPr>
                <w:b/>
                <w:sz w:val="4"/>
                <w:szCs w:val="4"/>
              </w:rPr>
            </w:pPr>
          </w:p>
          <w:p w14:paraId="1F213FDD" w14:textId="77777777" w:rsidR="007559E2" w:rsidRPr="00125CCC" w:rsidRDefault="007559E2" w:rsidP="00E12F74">
            <w:pPr>
              <w:tabs>
                <w:tab w:val="left" w:pos="2184"/>
              </w:tabs>
              <w:jc w:val="center"/>
              <w:rPr>
                <w:b/>
                <w:sz w:val="14"/>
                <w:szCs w:val="14"/>
              </w:rPr>
            </w:pPr>
            <w:r w:rsidRPr="00125CCC">
              <w:rPr>
                <w:b/>
                <w:sz w:val="14"/>
                <w:szCs w:val="14"/>
              </w:rPr>
              <w:t xml:space="preserve">Aldur í Ævilínu </w:t>
            </w:r>
          </w:p>
          <w:p w14:paraId="1F213FDE" w14:textId="77777777" w:rsidR="007559E2" w:rsidRPr="00125CCC" w:rsidRDefault="007559E2" w:rsidP="00E12F74">
            <w:pPr>
              <w:tabs>
                <w:tab w:val="left" w:pos="2184"/>
              </w:tabs>
              <w:jc w:val="center"/>
              <w:rPr>
                <w:b/>
                <w:sz w:val="4"/>
                <w:szCs w:val="4"/>
              </w:rPr>
            </w:pPr>
          </w:p>
        </w:tc>
      </w:tr>
      <w:tr w:rsidR="007559E2" w:rsidRPr="00125CCC" w14:paraId="1F213FEF" w14:textId="77777777" w:rsidTr="007559E2">
        <w:tc>
          <w:tcPr>
            <w:tcW w:w="498" w:type="pct"/>
            <w:tcBorders>
              <w:bottom w:val="single" w:sz="4" w:space="0" w:color="auto"/>
            </w:tcBorders>
          </w:tcPr>
          <w:p w14:paraId="1F213FE0" w14:textId="77777777" w:rsidR="007559E2" w:rsidRPr="00125CCC" w:rsidRDefault="007559E2" w:rsidP="00E12F74">
            <w:pPr>
              <w:autoSpaceDE w:val="0"/>
              <w:autoSpaceDN w:val="0"/>
              <w:adjustRightInd w:val="0"/>
              <w:rPr>
                <w:sz w:val="4"/>
                <w:szCs w:val="4"/>
              </w:rPr>
            </w:pPr>
          </w:p>
          <w:p w14:paraId="1F213FE1" w14:textId="77777777" w:rsidR="007559E2" w:rsidRPr="00F95949" w:rsidRDefault="007559E2" w:rsidP="00F95949">
            <w:pPr>
              <w:autoSpaceDE w:val="0"/>
              <w:autoSpaceDN w:val="0"/>
              <w:adjustRightInd w:val="0"/>
              <w:rPr>
                <w:sz w:val="14"/>
                <w:szCs w:val="14"/>
              </w:rPr>
            </w:pPr>
            <w:r>
              <w:rPr>
                <w:sz w:val="14"/>
                <w:szCs w:val="14"/>
              </w:rPr>
              <w:fldChar w:fldCharType="begin">
                <w:ffData>
                  <w:name w:val="Check5"/>
                  <w:enabled/>
                  <w:calcOnExit w:val="0"/>
                  <w:checkBox>
                    <w:sizeAuto/>
                    <w:default w:val="0"/>
                  </w:checkBox>
                </w:ffData>
              </w:fldChar>
            </w:r>
            <w:bookmarkStart w:id="15" w:name="Check5"/>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bookmarkEnd w:id="15"/>
          </w:p>
        </w:tc>
        <w:tc>
          <w:tcPr>
            <w:tcW w:w="715" w:type="pct"/>
            <w:tcBorders>
              <w:bottom w:val="single" w:sz="4" w:space="0" w:color="auto"/>
            </w:tcBorders>
            <w:shd w:val="clear" w:color="auto" w:fill="auto"/>
          </w:tcPr>
          <w:p w14:paraId="1F213FE2" w14:textId="77777777" w:rsidR="007559E2" w:rsidRPr="00125CCC" w:rsidRDefault="007559E2" w:rsidP="00E12F74">
            <w:pPr>
              <w:tabs>
                <w:tab w:val="left" w:pos="2184"/>
              </w:tabs>
              <w:rPr>
                <w:b/>
                <w:sz w:val="4"/>
                <w:szCs w:val="4"/>
              </w:rPr>
            </w:pPr>
          </w:p>
          <w:p w14:paraId="1F213FE3" w14:textId="77777777" w:rsidR="007559E2" w:rsidRPr="00F95949" w:rsidRDefault="007559E2" w:rsidP="00E12F74">
            <w:pPr>
              <w:tabs>
                <w:tab w:val="left" w:pos="2184"/>
              </w:tabs>
              <w:rPr>
                <w:b/>
                <w:sz w:val="14"/>
                <w:szCs w:val="14"/>
              </w:rPr>
            </w:pPr>
            <w:r w:rsidRPr="00125CCC">
              <w:rPr>
                <w:b/>
                <w:sz w:val="14"/>
                <w:szCs w:val="14"/>
              </w:rPr>
              <w:t>Lífeyrisauki 1</w:t>
            </w:r>
          </w:p>
        </w:tc>
        <w:tc>
          <w:tcPr>
            <w:tcW w:w="570" w:type="pct"/>
            <w:tcBorders>
              <w:bottom w:val="single" w:sz="4" w:space="0" w:color="auto"/>
            </w:tcBorders>
            <w:shd w:val="clear" w:color="auto" w:fill="auto"/>
          </w:tcPr>
          <w:p w14:paraId="1F213FE4" w14:textId="77777777" w:rsidR="007559E2" w:rsidRPr="00125CCC" w:rsidRDefault="007559E2" w:rsidP="00E12F74">
            <w:pPr>
              <w:tabs>
                <w:tab w:val="left" w:pos="2184"/>
              </w:tabs>
              <w:jc w:val="center"/>
              <w:rPr>
                <w:sz w:val="4"/>
                <w:szCs w:val="4"/>
              </w:rPr>
            </w:pPr>
          </w:p>
          <w:p w14:paraId="1F213FE5" w14:textId="77777777" w:rsidR="007559E2" w:rsidRPr="00F95949" w:rsidRDefault="007559E2" w:rsidP="00F95949">
            <w:pPr>
              <w:tabs>
                <w:tab w:val="left" w:pos="2184"/>
              </w:tabs>
              <w:jc w:val="center"/>
              <w:rPr>
                <w:sz w:val="14"/>
                <w:szCs w:val="14"/>
              </w:rPr>
            </w:pPr>
            <w:r w:rsidRPr="00125CCC">
              <w:rPr>
                <w:sz w:val="14"/>
                <w:szCs w:val="14"/>
              </w:rPr>
              <w:t>15%</w:t>
            </w:r>
          </w:p>
        </w:tc>
        <w:tc>
          <w:tcPr>
            <w:tcW w:w="587" w:type="pct"/>
            <w:tcBorders>
              <w:bottom w:val="single" w:sz="4" w:space="0" w:color="auto"/>
            </w:tcBorders>
            <w:shd w:val="clear" w:color="auto" w:fill="auto"/>
          </w:tcPr>
          <w:p w14:paraId="1F213FE6" w14:textId="77777777" w:rsidR="007559E2" w:rsidRPr="00125CCC" w:rsidRDefault="007559E2" w:rsidP="00E12F74">
            <w:pPr>
              <w:tabs>
                <w:tab w:val="left" w:pos="2184"/>
              </w:tabs>
              <w:jc w:val="center"/>
              <w:rPr>
                <w:sz w:val="4"/>
                <w:szCs w:val="4"/>
              </w:rPr>
            </w:pPr>
          </w:p>
          <w:p w14:paraId="1F213FE7" w14:textId="77777777" w:rsidR="007559E2" w:rsidRPr="00F95949" w:rsidRDefault="007559E2" w:rsidP="00705637">
            <w:pPr>
              <w:tabs>
                <w:tab w:val="left" w:pos="2184"/>
              </w:tabs>
              <w:jc w:val="center"/>
              <w:rPr>
                <w:sz w:val="14"/>
                <w:szCs w:val="14"/>
              </w:rPr>
            </w:pPr>
            <w:r w:rsidRPr="00125CCC">
              <w:rPr>
                <w:sz w:val="14"/>
                <w:szCs w:val="14"/>
              </w:rPr>
              <w:t>3</w:t>
            </w:r>
            <w:r>
              <w:rPr>
                <w:sz w:val="14"/>
                <w:szCs w:val="14"/>
              </w:rPr>
              <w:t>0</w:t>
            </w:r>
            <w:r w:rsidRPr="00125CCC">
              <w:rPr>
                <w:sz w:val="14"/>
                <w:szCs w:val="14"/>
              </w:rPr>
              <w:t>%</w:t>
            </w:r>
          </w:p>
        </w:tc>
        <w:tc>
          <w:tcPr>
            <w:tcW w:w="648" w:type="pct"/>
            <w:tcBorders>
              <w:bottom w:val="single" w:sz="4" w:space="0" w:color="auto"/>
            </w:tcBorders>
            <w:shd w:val="clear" w:color="auto" w:fill="auto"/>
          </w:tcPr>
          <w:p w14:paraId="1F213FE8" w14:textId="77777777" w:rsidR="007559E2" w:rsidRPr="00125CCC" w:rsidRDefault="007559E2" w:rsidP="00E12F74">
            <w:pPr>
              <w:tabs>
                <w:tab w:val="left" w:pos="2184"/>
              </w:tabs>
              <w:jc w:val="center"/>
              <w:rPr>
                <w:sz w:val="4"/>
                <w:szCs w:val="4"/>
              </w:rPr>
            </w:pPr>
          </w:p>
          <w:p w14:paraId="1F213FE9" w14:textId="77777777" w:rsidR="007559E2" w:rsidRPr="00F95949" w:rsidRDefault="007559E2" w:rsidP="00F95949">
            <w:pPr>
              <w:tabs>
                <w:tab w:val="left" w:pos="2184"/>
              </w:tabs>
              <w:jc w:val="center"/>
              <w:rPr>
                <w:sz w:val="14"/>
                <w:szCs w:val="14"/>
              </w:rPr>
            </w:pPr>
            <w:r w:rsidRPr="00125CCC">
              <w:rPr>
                <w:sz w:val="14"/>
                <w:szCs w:val="14"/>
              </w:rPr>
              <w:t>50%</w:t>
            </w:r>
          </w:p>
        </w:tc>
        <w:tc>
          <w:tcPr>
            <w:tcW w:w="718" w:type="pct"/>
            <w:tcBorders>
              <w:bottom w:val="single" w:sz="4" w:space="0" w:color="auto"/>
            </w:tcBorders>
            <w:shd w:val="clear" w:color="auto" w:fill="auto"/>
          </w:tcPr>
          <w:p w14:paraId="1F213FEA" w14:textId="77777777" w:rsidR="007559E2" w:rsidRPr="00125CCC" w:rsidRDefault="007559E2" w:rsidP="00705637">
            <w:pPr>
              <w:tabs>
                <w:tab w:val="left" w:pos="2184"/>
              </w:tabs>
              <w:jc w:val="center"/>
              <w:rPr>
                <w:sz w:val="4"/>
                <w:szCs w:val="4"/>
              </w:rPr>
            </w:pPr>
          </w:p>
          <w:p w14:paraId="1F213FEB" w14:textId="77777777" w:rsidR="007559E2" w:rsidRPr="00125CCC" w:rsidRDefault="007559E2" w:rsidP="00705637">
            <w:pPr>
              <w:tabs>
                <w:tab w:val="left" w:pos="2184"/>
              </w:tabs>
              <w:jc w:val="center"/>
              <w:rPr>
                <w:sz w:val="4"/>
                <w:szCs w:val="4"/>
              </w:rPr>
            </w:pPr>
            <w:r>
              <w:rPr>
                <w:sz w:val="14"/>
                <w:szCs w:val="14"/>
              </w:rPr>
              <w:t>2</w:t>
            </w:r>
            <w:r w:rsidRPr="00125CCC">
              <w:rPr>
                <w:sz w:val="14"/>
                <w:szCs w:val="14"/>
              </w:rPr>
              <w:t>%</w:t>
            </w:r>
          </w:p>
        </w:tc>
        <w:tc>
          <w:tcPr>
            <w:tcW w:w="646" w:type="pct"/>
            <w:tcBorders>
              <w:bottom w:val="single" w:sz="4" w:space="0" w:color="auto"/>
            </w:tcBorders>
            <w:shd w:val="clear" w:color="auto" w:fill="auto"/>
            <w:vAlign w:val="center"/>
          </w:tcPr>
          <w:p w14:paraId="1F213FEC" w14:textId="77777777" w:rsidR="007559E2" w:rsidRPr="00125CCC" w:rsidRDefault="007559E2" w:rsidP="00494EFD">
            <w:pPr>
              <w:tabs>
                <w:tab w:val="left" w:pos="2184"/>
              </w:tabs>
              <w:jc w:val="center"/>
              <w:rPr>
                <w:sz w:val="14"/>
                <w:szCs w:val="14"/>
              </w:rPr>
            </w:pPr>
            <w:r>
              <w:rPr>
                <w:sz w:val="14"/>
                <w:szCs w:val="14"/>
              </w:rPr>
              <w:t>3</w:t>
            </w:r>
            <w:r w:rsidRPr="00125CCC">
              <w:rPr>
                <w:sz w:val="14"/>
                <w:szCs w:val="14"/>
              </w:rPr>
              <w:t>%</w:t>
            </w:r>
          </w:p>
        </w:tc>
        <w:tc>
          <w:tcPr>
            <w:tcW w:w="617" w:type="pct"/>
            <w:tcBorders>
              <w:bottom w:val="single" w:sz="4" w:space="0" w:color="auto"/>
            </w:tcBorders>
            <w:shd w:val="clear" w:color="auto" w:fill="auto"/>
          </w:tcPr>
          <w:p w14:paraId="1F213FED" w14:textId="77777777" w:rsidR="007559E2" w:rsidRPr="00125CCC" w:rsidRDefault="007559E2" w:rsidP="00E12F74">
            <w:pPr>
              <w:tabs>
                <w:tab w:val="left" w:pos="2184"/>
              </w:tabs>
              <w:jc w:val="center"/>
              <w:rPr>
                <w:sz w:val="4"/>
                <w:szCs w:val="4"/>
              </w:rPr>
            </w:pPr>
          </w:p>
          <w:p w14:paraId="1F213FEE" w14:textId="77777777" w:rsidR="007559E2" w:rsidRPr="00F95949" w:rsidRDefault="007559E2" w:rsidP="00F95949">
            <w:pPr>
              <w:tabs>
                <w:tab w:val="left" w:pos="2184"/>
              </w:tabs>
              <w:jc w:val="center"/>
              <w:rPr>
                <w:sz w:val="11"/>
                <w:szCs w:val="11"/>
              </w:rPr>
            </w:pPr>
            <w:r w:rsidRPr="00125CCC">
              <w:rPr>
                <w:sz w:val="11"/>
                <w:szCs w:val="11"/>
              </w:rPr>
              <w:t>30 ára og yngri</w:t>
            </w:r>
          </w:p>
        </w:tc>
      </w:tr>
      <w:tr w:rsidR="007559E2" w:rsidRPr="00125CCC" w14:paraId="1F213FFF" w14:textId="77777777" w:rsidTr="007559E2">
        <w:tc>
          <w:tcPr>
            <w:tcW w:w="498" w:type="pct"/>
            <w:tcBorders>
              <w:bottom w:val="single" w:sz="4" w:space="0" w:color="auto"/>
            </w:tcBorders>
          </w:tcPr>
          <w:p w14:paraId="1F213FF0" w14:textId="77777777" w:rsidR="007559E2" w:rsidRPr="00125CCC" w:rsidRDefault="007559E2" w:rsidP="00E12F74">
            <w:pPr>
              <w:tabs>
                <w:tab w:val="left" w:pos="2184"/>
              </w:tabs>
              <w:rPr>
                <w:sz w:val="4"/>
                <w:szCs w:val="4"/>
              </w:rPr>
            </w:pPr>
          </w:p>
          <w:p w14:paraId="1F213FF1" w14:textId="77777777" w:rsidR="007559E2" w:rsidRPr="00F95949" w:rsidRDefault="007559E2" w:rsidP="00F95949">
            <w:pPr>
              <w:autoSpaceDE w:val="0"/>
              <w:autoSpaceDN w:val="0"/>
              <w:adjustRightInd w:val="0"/>
              <w:rPr>
                <w:sz w:val="14"/>
                <w:szCs w:val="14"/>
              </w:rPr>
            </w:pPr>
            <w:r>
              <w:rPr>
                <w:sz w:val="14"/>
                <w:szCs w:val="14"/>
              </w:rPr>
              <w:fldChar w:fldCharType="begin">
                <w:ffData>
                  <w:name w:val="Check6"/>
                  <w:enabled/>
                  <w:calcOnExit w:val="0"/>
                  <w:checkBox>
                    <w:sizeAuto/>
                    <w:default w:val="0"/>
                  </w:checkBox>
                </w:ffData>
              </w:fldChar>
            </w:r>
            <w:bookmarkStart w:id="16" w:name="Check6"/>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bookmarkEnd w:id="16"/>
          </w:p>
        </w:tc>
        <w:tc>
          <w:tcPr>
            <w:tcW w:w="715" w:type="pct"/>
            <w:tcBorders>
              <w:bottom w:val="single" w:sz="4" w:space="0" w:color="auto"/>
            </w:tcBorders>
            <w:shd w:val="clear" w:color="auto" w:fill="auto"/>
          </w:tcPr>
          <w:p w14:paraId="1F213FF2" w14:textId="77777777" w:rsidR="007559E2" w:rsidRPr="00125CCC" w:rsidRDefault="007559E2" w:rsidP="00E12F74">
            <w:pPr>
              <w:tabs>
                <w:tab w:val="left" w:pos="2184"/>
              </w:tabs>
              <w:rPr>
                <w:b/>
                <w:sz w:val="4"/>
                <w:szCs w:val="4"/>
              </w:rPr>
            </w:pPr>
          </w:p>
          <w:p w14:paraId="1F213FF3" w14:textId="77777777" w:rsidR="007559E2" w:rsidRPr="00F95949" w:rsidRDefault="007559E2" w:rsidP="00E12F74">
            <w:pPr>
              <w:tabs>
                <w:tab w:val="left" w:pos="2184"/>
              </w:tabs>
              <w:rPr>
                <w:b/>
                <w:sz w:val="14"/>
                <w:szCs w:val="14"/>
              </w:rPr>
            </w:pPr>
            <w:r w:rsidRPr="00125CCC">
              <w:rPr>
                <w:b/>
                <w:sz w:val="14"/>
                <w:szCs w:val="14"/>
              </w:rPr>
              <w:t>Lífeyrisauki 2</w:t>
            </w:r>
          </w:p>
        </w:tc>
        <w:tc>
          <w:tcPr>
            <w:tcW w:w="570" w:type="pct"/>
            <w:tcBorders>
              <w:bottom w:val="single" w:sz="4" w:space="0" w:color="auto"/>
            </w:tcBorders>
            <w:shd w:val="clear" w:color="auto" w:fill="auto"/>
          </w:tcPr>
          <w:p w14:paraId="1F213FF4" w14:textId="77777777" w:rsidR="007559E2" w:rsidRPr="00125CCC" w:rsidRDefault="007559E2" w:rsidP="00E12F74">
            <w:pPr>
              <w:tabs>
                <w:tab w:val="left" w:pos="2184"/>
              </w:tabs>
              <w:jc w:val="center"/>
              <w:rPr>
                <w:sz w:val="4"/>
                <w:szCs w:val="4"/>
              </w:rPr>
            </w:pPr>
          </w:p>
          <w:p w14:paraId="1F213FF5" w14:textId="77777777" w:rsidR="007559E2" w:rsidRPr="00F95949" w:rsidRDefault="007559E2" w:rsidP="00F95949">
            <w:pPr>
              <w:tabs>
                <w:tab w:val="left" w:pos="2184"/>
              </w:tabs>
              <w:jc w:val="center"/>
              <w:rPr>
                <w:sz w:val="14"/>
                <w:szCs w:val="14"/>
              </w:rPr>
            </w:pPr>
            <w:r w:rsidRPr="00125CCC">
              <w:rPr>
                <w:sz w:val="14"/>
                <w:szCs w:val="14"/>
              </w:rPr>
              <w:t>15%</w:t>
            </w:r>
          </w:p>
        </w:tc>
        <w:tc>
          <w:tcPr>
            <w:tcW w:w="587" w:type="pct"/>
            <w:tcBorders>
              <w:bottom w:val="single" w:sz="4" w:space="0" w:color="auto"/>
            </w:tcBorders>
            <w:shd w:val="clear" w:color="auto" w:fill="auto"/>
          </w:tcPr>
          <w:p w14:paraId="1F213FF6" w14:textId="77777777" w:rsidR="007559E2" w:rsidRPr="00125CCC" w:rsidRDefault="007559E2" w:rsidP="00E12F74">
            <w:pPr>
              <w:tabs>
                <w:tab w:val="left" w:pos="2184"/>
              </w:tabs>
              <w:jc w:val="center"/>
              <w:rPr>
                <w:sz w:val="4"/>
                <w:szCs w:val="4"/>
              </w:rPr>
            </w:pPr>
          </w:p>
          <w:p w14:paraId="1F213FF7" w14:textId="77777777" w:rsidR="007559E2" w:rsidRPr="00F95949" w:rsidRDefault="007559E2" w:rsidP="00F95949">
            <w:pPr>
              <w:tabs>
                <w:tab w:val="left" w:pos="2184"/>
              </w:tabs>
              <w:jc w:val="center"/>
              <w:rPr>
                <w:sz w:val="14"/>
                <w:szCs w:val="14"/>
              </w:rPr>
            </w:pPr>
            <w:r w:rsidRPr="00125CCC">
              <w:rPr>
                <w:sz w:val="14"/>
                <w:szCs w:val="14"/>
              </w:rPr>
              <w:t>45%</w:t>
            </w:r>
          </w:p>
        </w:tc>
        <w:tc>
          <w:tcPr>
            <w:tcW w:w="648" w:type="pct"/>
            <w:tcBorders>
              <w:bottom w:val="single" w:sz="4" w:space="0" w:color="auto"/>
            </w:tcBorders>
            <w:shd w:val="clear" w:color="auto" w:fill="auto"/>
          </w:tcPr>
          <w:p w14:paraId="1F213FF8" w14:textId="77777777" w:rsidR="007559E2" w:rsidRPr="00125CCC" w:rsidRDefault="007559E2" w:rsidP="00E12F74">
            <w:pPr>
              <w:tabs>
                <w:tab w:val="left" w:pos="2184"/>
              </w:tabs>
              <w:jc w:val="center"/>
              <w:rPr>
                <w:sz w:val="4"/>
                <w:szCs w:val="4"/>
              </w:rPr>
            </w:pPr>
          </w:p>
          <w:p w14:paraId="1F213FF9" w14:textId="77777777" w:rsidR="007559E2" w:rsidRPr="00F95949" w:rsidRDefault="007559E2" w:rsidP="00F95949">
            <w:pPr>
              <w:tabs>
                <w:tab w:val="left" w:pos="2184"/>
              </w:tabs>
              <w:jc w:val="center"/>
              <w:rPr>
                <w:sz w:val="14"/>
                <w:szCs w:val="14"/>
              </w:rPr>
            </w:pPr>
            <w:r w:rsidRPr="00125CCC">
              <w:rPr>
                <w:sz w:val="14"/>
                <w:szCs w:val="14"/>
              </w:rPr>
              <w:t>35%</w:t>
            </w:r>
          </w:p>
        </w:tc>
        <w:tc>
          <w:tcPr>
            <w:tcW w:w="718" w:type="pct"/>
            <w:tcBorders>
              <w:bottom w:val="single" w:sz="4" w:space="0" w:color="auto"/>
            </w:tcBorders>
            <w:shd w:val="clear" w:color="auto" w:fill="auto"/>
          </w:tcPr>
          <w:p w14:paraId="1F213FFA" w14:textId="77777777" w:rsidR="007559E2" w:rsidRPr="00125CCC" w:rsidRDefault="007559E2" w:rsidP="00E12F74">
            <w:pPr>
              <w:tabs>
                <w:tab w:val="left" w:pos="2184"/>
              </w:tabs>
              <w:jc w:val="center"/>
              <w:rPr>
                <w:sz w:val="4"/>
                <w:szCs w:val="4"/>
              </w:rPr>
            </w:pPr>
          </w:p>
          <w:p w14:paraId="1F213FFB" w14:textId="77777777" w:rsidR="007559E2" w:rsidRPr="00F95949" w:rsidRDefault="007559E2" w:rsidP="00F95949">
            <w:pPr>
              <w:tabs>
                <w:tab w:val="left" w:pos="2184"/>
              </w:tabs>
              <w:jc w:val="center"/>
              <w:rPr>
                <w:sz w:val="14"/>
                <w:szCs w:val="14"/>
              </w:rPr>
            </w:pPr>
            <w:r>
              <w:rPr>
                <w:sz w:val="14"/>
                <w:szCs w:val="14"/>
              </w:rPr>
              <w:t>2</w:t>
            </w:r>
            <w:r w:rsidRPr="00125CCC">
              <w:rPr>
                <w:sz w:val="14"/>
                <w:szCs w:val="14"/>
              </w:rPr>
              <w:t>%</w:t>
            </w:r>
          </w:p>
        </w:tc>
        <w:tc>
          <w:tcPr>
            <w:tcW w:w="646" w:type="pct"/>
            <w:tcBorders>
              <w:bottom w:val="single" w:sz="4" w:space="0" w:color="auto"/>
            </w:tcBorders>
            <w:shd w:val="clear" w:color="auto" w:fill="auto"/>
            <w:vAlign w:val="center"/>
          </w:tcPr>
          <w:p w14:paraId="1F213FFC" w14:textId="77777777" w:rsidR="007559E2" w:rsidRPr="00125CCC" w:rsidRDefault="007559E2" w:rsidP="00494EFD">
            <w:pPr>
              <w:tabs>
                <w:tab w:val="left" w:pos="2184"/>
              </w:tabs>
              <w:jc w:val="center"/>
              <w:rPr>
                <w:sz w:val="4"/>
                <w:szCs w:val="4"/>
              </w:rPr>
            </w:pPr>
            <w:r>
              <w:rPr>
                <w:sz w:val="14"/>
                <w:szCs w:val="14"/>
              </w:rPr>
              <w:t>3</w:t>
            </w:r>
            <w:r w:rsidRPr="00125CCC">
              <w:rPr>
                <w:sz w:val="14"/>
                <w:szCs w:val="14"/>
              </w:rPr>
              <w:t>%</w:t>
            </w:r>
          </w:p>
        </w:tc>
        <w:tc>
          <w:tcPr>
            <w:tcW w:w="617" w:type="pct"/>
            <w:tcBorders>
              <w:bottom w:val="single" w:sz="4" w:space="0" w:color="auto"/>
            </w:tcBorders>
            <w:shd w:val="clear" w:color="auto" w:fill="auto"/>
          </w:tcPr>
          <w:p w14:paraId="1F213FFD" w14:textId="77777777" w:rsidR="007559E2" w:rsidRPr="00125CCC" w:rsidRDefault="007559E2" w:rsidP="00E12F74">
            <w:pPr>
              <w:tabs>
                <w:tab w:val="left" w:pos="2184"/>
              </w:tabs>
              <w:jc w:val="center"/>
              <w:rPr>
                <w:sz w:val="4"/>
                <w:szCs w:val="4"/>
              </w:rPr>
            </w:pPr>
          </w:p>
          <w:p w14:paraId="1F213FFE" w14:textId="77777777" w:rsidR="007559E2" w:rsidRPr="00125CCC" w:rsidRDefault="007559E2" w:rsidP="00E12F74">
            <w:pPr>
              <w:tabs>
                <w:tab w:val="left" w:pos="2184"/>
              </w:tabs>
              <w:jc w:val="center"/>
              <w:rPr>
                <w:sz w:val="14"/>
                <w:szCs w:val="14"/>
              </w:rPr>
            </w:pPr>
            <w:r w:rsidRPr="00125CCC">
              <w:rPr>
                <w:sz w:val="12"/>
                <w:szCs w:val="12"/>
              </w:rPr>
              <w:t>31-40 ára</w:t>
            </w:r>
          </w:p>
        </w:tc>
      </w:tr>
      <w:tr w:rsidR="007559E2" w:rsidRPr="00125CCC" w14:paraId="1F21400E" w14:textId="77777777" w:rsidTr="007559E2">
        <w:tc>
          <w:tcPr>
            <w:tcW w:w="498" w:type="pct"/>
            <w:tcBorders>
              <w:bottom w:val="single" w:sz="4" w:space="0" w:color="auto"/>
            </w:tcBorders>
          </w:tcPr>
          <w:p w14:paraId="1F214000" w14:textId="77777777" w:rsidR="007559E2" w:rsidRPr="00125CCC" w:rsidRDefault="007559E2" w:rsidP="00E12F74">
            <w:pPr>
              <w:autoSpaceDE w:val="0"/>
              <w:autoSpaceDN w:val="0"/>
              <w:adjustRightInd w:val="0"/>
              <w:rPr>
                <w:sz w:val="4"/>
                <w:szCs w:val="4"/>
              </w:rPr>
            </w:pPr>
          </w:p>
          <w:p w14:paraId="1F214001" w14:textId="77777777" w:rsidR="007559E2" w:rsidRPr="00F95949" w:rsidRDefault="007559E2" w:rsidP="00F95949">
            <w:pPr>
              <w:autoSpaceDE w:val="0"/>
              <w:autoSpaceDN w:val="0"/>
              <w:adjustRightInd w:val="0"/>
              <w:rPr>
                <w:sz w:val="14"/>
                <w:szCs w:val="14"/>
              </w:rPr>
            </w:pPr>
            <w:r>
              <w:rPr>
                <w:sz w:val="14"/>
                <w:szCs w:val="14"/>
              </w:rPr>
              <w:fldChar w:fldCharType="begin">
                <w:ffData>
                  <w:name w:val="Check7"/>
                  <w:enabled/>
                  <w:calcOnExit w:val="0"/>
                  <w:checkBox>
                    <w:sizeAuto/>
                    <w:default w:val="0"/>
                  </w:checkBox>
                </w:ffData>
              </w:fldChar>
            </w:r>
            <w:bookmarkStart w:id="17" w:name="Check7"/>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bookmarkEnd w:id="17"/>
          </w:p>
        </w:tc>
        <w:tc>
          <w:tcPr>
            <w:tcW w:w="715" w:type="pct"/>
            <w:tcBorders>
              <w:bottom w:val="single" w:sz="4" w:space="0" w:color="auto"/>
            </w:tcBorders>
            <w:shd w:val="clear" w:color="auto" w:fill="auto"/>
          </w:tcPr>
          <w:p w14:paraId="1F214002" w14:textId="77777777" w:rsidR="007559E2" w:rsidRPr="00125CCC" w:rsidRDefault="007559E2" w:rsidP="00E12F74">
            <w:pPr>
              <w:tabs>
                <w:tab w:val="left" w:pos="2184"/>
              </w:tabs>
              <w:rPr>
                <w:b/>
                <w:sz w:val="4"/>
                <w:szCs w:val="4"/>
              </w:rPr>
            </w:pPr>
          </w:p>
          <w:p w14:paraId="1F214003" w14:textId="77777777" w:rsidR="007559E2" w:rsidRPr="00F95949" w:rsidRDefault="007559E2" w:rsidP="00E12F74">
            <w:pPr>
              <w:tabs>
                <w:tab w:val="left" w:pos="2184"/>
              </w:tabs>
              <w:rPr>
                <w:b/>
                <w:sz w:val="14"/>
                <w:szCs w:val="14"/>
              </w:rPr>
            </w:pPr>
            <w:r w:rsidRPr="00125CCC">
              <w:rPr>
                <w:b/>
                <w:sz w:val="14"/>
                <w:szCs w:val="14"/>
              </w:rPr>
              <w:t>Lífeyrisauki 3</w:t>
            </w:r>
          </w:p>
        </w:tc>
        <w:tc>
          <w:tcPr>
            <w:tcW w:w="570" w:type="pct"/>
            <w:tcBorders>
              <w:bottom w:val="single" w:sz="4" w:space="0" w:color="auto"/>
            </w:tcBorders>
            <w:shd w:val="clear" w:color="auto" w:fill="auto"/>
          </w:tcPr>
          <w:p w14:paraId="1F214004" w14:textId="77777777" w:rsidR="007559E2" w:rsidRPr="00125CCC" w:rsidRDefault="007559E2" w:rsidP="00E12F74">
            <w:pPr>
              <w:tabs>
                <w:tab w:val="left" w:pos="2184"/>
              </w:tabs>
              <w:jc w:val="center"/>
              <w:rPr>
                <w:sz w:val="4"/>
                <w:szCs w:val="4"/>
              </w:rPr>
            </w:pPr>
          </w:p>
          <w:p w14:paraId="1F214005" w14:textId="77777777" w:rsidR="007559E2" w:rsidRPr="00F95949" w:rsidRDefault="007559E2" w:rsidP="00F95949">
            <w:pPr>
              <w:tabs>
                <w:tab w:val="left" w:pos="2184"/>
              </w:tabs>
              <w:jc w:val="center"/>
              <w:rPr>
                <w:sz w:val="14"/>
                <w:szCs w:val="14"/>
              </w:rPr>
            </w:pPr>
            <w:r w:rsidRPr="00125CCC">
              <w:rPr>
                <w:sz w:val="14"/>
                <w:szCs w:val="14"/>
              </w:rPr>
              <w:t>10%</w:t>
            </w:r>
          </w:p>
        </w:tc>
        <w:tc>
          <w:tcPr>
            <w:tcW w:w="587" w:type="pct"/>
            <w:tcBorders>
              <w:bottom w:val="single" w:sz="4" w:space="0" w:color="auto"/>
            </w:tcBorders>
            <w:shd w:val="clear" w:color="auto" w:fill="auto"/>
          </w:tcPr>
          <w:p w14:paraId="1F214006" w14:textId="77777777" w:rsidR="007559E2" w:rsidRPr="00125CCC" w:rsidRDefault="007559E2" w:rsidP="00E12F74">
            <w:pPr>
              <w:tabs>
                <w:tab w:val="left" w:pos="2184"/>
              </w:tabs>
              <w:jc w:val="center"/>
              <w:rPr>
                <w:sz w:val="4"/>
                <w:szCs w:val="4"/>
              </w:rPr>
            </w:pPr>
          </w:p>
          <w:p w14:paraId="1F214007" w14:textId="77777777" w:rsidR="007559E2" w:rsidRPr="00F95949" w:rsidRDefault="007559E2" w:rsidP="00F95949">
            <w:pPr>
              <w:tabs>
                <w:tab w:val="left" w:pos="2184"/>
              </w:tabs>
              <w:jc w:val="center"/>
              <w:rPr>
                <w:sz w:val="14"/>
                <w:szCs w:val="14"/>
              </w:rPr>
            </w:pPr>
            <w:r>
              <w:rPr>
                <w:sz w:val="14"/>
                <w:szCs w:val="14"/>
              </w:rPr>
              <w:t>65</w:t>
            </w:r>
            <w:r w:rsidRPr="00125CCC">
              <w:rPr>
                <w:sz w:val="14"/>
                <w:szCs w:val="14"/>
              </w:rPr>
              <w:t>%</w:t>
            </w:r>
          </w:p>
        </w:tc>
        <w:tc>
          <w:tcPr>
            <w:tcW w:w="648" w:type="pct"/>
            <w:tcBorders>
              <w:bottom w:val="single" w:sz="4" w:space="0" w:color="auto"/>
            </w:tcBorders>
            <w:shd w:val="clear" w:color="auto" w:fill="auto"/>
          </w:tcPr>
          <w:p w14:paraId="1F214008" w14:textId="77777777" w:rsidR="007559E2" w:rsidRPr="00125CCC" w:rsidRDefault="007559E2" w:rsidP="00E12F74">
            <w:pPr>
              <w:tabs>
                <w:tab w:val="left" w:pos="2184"/>
              </w:tabs>
              <w:jc w:val="center"/>
              <w:rPr>
                <w:sz w:val="4"/>
                <w:szCs w:val="4"/>
              </w:rPr>
            </w:pPr>
          </w:p>
          <w:p w14:paraId="1F214009" w14:textId="77777777" w:rsidR="007559E2" w:rsidRPr="00F95949" w:rsidRDefault="007559E2" w:rsidP="00F95949">
            <w:pPr>
              <w:tabs>
                <w:tab w:val="left" w:pos="2184"/>
              </w:tabs>
              <w:jc w:val="center"/>
              <w:rPr>
                <w:sz w:val="14"/>
                <w:szCs w:val="14"/>
              </w:rPr>
            </w:pPr>
            <w:r w:rsidRPr="00125CCC">
              <w:rPr>
                <w:sz w:val="14"/>
                <w:szCs w:val="14"/>
              </w:rPr>
              <w:t>20%</w:t>
            </w:r>
          </w:p>
        </w:tc>
        <w:tc>
          <w:tcPr>
            <w:tcW w:w="718" w:type="pct"/>
            <w:tcBorders>
              <w:bottom w:val="single" w:sz="4" w:space="0" w:color="auto"/>
            </w:tcBorders>
            <w:shd w:val="clear" w:color="auto" w:fill="auto"/>
            <w:vAlign w:val="bottom"/>
          </w:tcPr>
          <w:p w14:paraId="1F21400A" w14:textId="77777777" w:rsidR="007559E2" w:rsidRPr="00125CCC" w:rsidRDefault="007559E2" w:rsidP="00705637">
            <w:pPr>
              <w:tabs>
                <w:tab w:val="left" w:pos="2184"/>
              </w:tabs>
              <w:jc w:val="center"/>
              <w:rPr>
                <w:sz w:val="14"/>
                <w:szCs w:val="14"/>
              </w:rPr>
            </w:pPr>
            <w:r>
              <w:rPr>
                <w:sz w:val="14"/>
                <w:szCs w:val="14"/>
              </w:rPr>
              <w:t>2</w:t>
            </w:r>
            <w:r w:rsidRPr="00125CCC">
              <w:rPr>
                <w:sz w:val="14"/>
                <w:szCs w:val="14"/>
              </w:rPr>
              <w:t>%</w:t>
            </w:r>
          </w:p>
        </w:tc>
        <w:tc>
          <w:tcPr>
            <w:tcW w:w="646" w:type="pct"/>
            <w:tcBorders>
              <w:bottom w:val="single" w:sz="4" w:space="0" w:color="auto"/>
            </w:tcBorders>
            <w:shd w:val="clear" w:color="auto" w:fill="auto"/>
            <w:vAlign w:val="center"/>
          </w:tcPr>
          <w:p w14:paraId="1F21400B" w14:textId="77777777" w:rsidR="007559E2" w:rsidRPr="00125CCC" w:rsidRDefault="007559E2" w:rsidP="00494EFD">
            <w:pPr>
              <w:tabs>
                <w:tab w:val="left" w:pos="2184"/>
              </w:tabs>
              <w:jc w:val="center"/>
              <w:rPr>
                <w:sz w:val="14"/>
                <w:szCs w:val="14"/>
              </w:rPr>
            </w:pPr>
            <w:r>
              <w:rPr>
                <w:sz w:val="14"/>
                <w:szCs w:val="14"/>
              </w:rPr>
              <w:t>3</w:t>
            </w:r>
            <w:r w:rsidRPr="00125CCC">
              <w:rPr>
                <w:sz w:val="14"/>
                <w:szCs w:val="14"/>
              </w:rPr>
              <w:t>%</w:t>
            </w:r>
          </w:p>
        </w:tc>
        <w:tc>
          <w:tcPr>
            <w:tcW w:w="617" w:type="pct"/>
            <w:tcBorders>
              <w:bottom w:val="single" w:sz="4" w:space="0" w:color="auto"/>
            </w:tcBorders>
            <w:shd w:val="clear" w:color="auto" w:fill="auto"/>
          </w:tcPr>
          <w:p w14:paraId="1F21400C" w14:textId="77777777" w:rsidR="007559E2" w:rsidRPr="00125CCC" w:rsidRDefault="007559E2" w:rsidP="00E12F74">
            <w:pPr>
              <w:tabs>
                <w:tab w:val="left" w:pos="2184"/>
              </w:tabs>
              <w:jc w:val="center"/>
              <w:rPr>
                <w:sz w:val="4"/>
                <w:szCs w:val="4"/>
              </w:rPr>
            </w:pPr>
          </w:p>
          <w:p w14:paraId="1F21400D" w14:textId="77777777" w:rsidR="007559E2" w:rsidRPr="00F95949" w:rsidRDefault="007559E2" w:rsidP="00F95949">
            <w:pPr>
              <w:tabs>
                <w:tab w:val="left" w:pos="2184"/>
              </w:tabs>
              <w:jc w:val="center"/>
              <w:rPr>
                <w:sz w:val="12"/>
                <w:szCs w:val="12"/>
              </w:rPr>
            </w:pPr>
            <w:r w:rsidRPr="00125CCC">
              <w:rPr>
                <w:sz w:val="12"/>
                <w:szCs w:val="12"/>
              </w:rPr>
              <w:t>41-54 ára</w:t>
            </w:r>
          </w:p>
        </w:tc>
      </w:tr>
      <w:tr w:rsidR="007559E2" w:rsidRPr="00125CCC" w14:paraId="1F21401D" w14:textId="77777777" w:rsidTr="007559E2">
        <w:tc>
          <w:tcPr>
            <w:tcW w:w="498" w:type="pct"/>
            <w:tcBorders>
              <w:bottom w:val="single" w:sz="4" w:space="0" w:color="auto"/>
            </w:tcBorders>
          </w:tcPr>
          <w:p w14:paraId="1F21400F" w14:textId="77777777" w:rsidR="007559E2" w:rsidRPr="00125CCC" w:rsidRDefault="007559E2" w:rsidP="00E12F74">
            <w:pPr>
              <w:autoSpaceDE w:val="0"/>
              <w:autoSpaceDN w:val="0"/>
              <w:adjustRightInd w:val="0"/>
              <w:rPr>
                <w:sz w:val="4"/>
                <w:szCs w:val="4"/>
              </w:rPr>
            </w:pPr>
          </w:p>
          <w:p w14:paraId="1F214010" w14:textId="77777777" w:rsidR="007559E2" w:rsidRPr="00F95949" w:rsidRDefault="007559E2" w:rsidP="00F95949">
            <w:pPr>
              <w:autoSpaceDE w:val="0"/>
              <w:autoSpaceDN w:val="0"/>
              <w:adjustRightInd w:val="0"/>
              <w:rPr>
                <w:sz w:val="14"/>
                <w:szCs w:val="14"/>
              </w:rPr>
            </w:pPr>
            <w:r>
              <w:rPr>
                <w:sz w:val="14"/>
                <w:szCs w:val="14"/>
              </w:rPr>
              <w:fldChar w:fldCharType="begin">
                <w:ffData>
                  <w:name w:val="Check8"/>
                  <w:enabled/>
                  <w:calcOnExit w:val="0"/>
                  <w:checkBox>
                    <w:sizeAuto/>
                    <w:default w:val="0"/>
                  </w:checkBox>
                </w:ffData>
              </w:fldChar>
            </w:r>
            <w:bookmarkStart w:id="18" w:name="Check8"/>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bookmarkEnd w:id="18"/>
          </w:p>
        </w:tc>
        <w:tc>
          <w:tcPr>
            <w:tcW w:w="715" w:type="pct"/>
            <w:tcBorders>
              <w:bottom w:val="single" w:sz="4" w:space="0" w:color="auto"/>
            </w:tcBorders>
            <w:shd w:val="clear" w:color="auto" w:fill="auto"/>
          </w:tcPr>
          <w:p w14:paraId="1F214011" w14:textId="77777777" w:rsidR="007559E2" w:rsidRPr="00125CCC" w:rsidRDefault="007559E2" w:rsidP="00E12F74">
            <w:pPr>
              <w:tabs>
                <w:tab w:val="left" w:pos="2184"/>
              </w:tabs>
              <w:rPr>
                <w:b/>
                <w:sz w:val="4"/>
                <w:szCs w:val="4"/>
              </w:rPr>
            </w:pPr>
          </w:p>
          <w:p w14:paraId="1F214012" w14:textId="77777777" w:rsidR="007559E2" w:rsidRPr="00F95949" w:rsidRDefault="007559E2" w:rsidP="00E12F74">
            <w:pPr>
              <w:tabs>
                <w:tab w:val="left" w:pos="2184"/>
              </w:tabs>
              <w:rPr>
                <w:b/>
                <w:sz w:val="14"/>
                <w:szCs w:val="14"/>
              </w:rPr>
            </w:pPr>
            <w:r w:rsidRPr="00125CCC">
              <w:rPr>
                <w:b/>
                <w:sz w:val="14"/>
                <w:szCs w:val="14"/>
              </w:rPr>
              <w:t>Lífeyrisauki 4</w:t>
            </w:r>
          </w:p>
        </w:tc>
        <w:tc>
          <w:tcPr>
            <w:tcW w:w="570" w:type="pct"/>
            <w:tcBorders>
              <w:bottom w:val="single" w:sz="4" w:space="0" w:color="auto"/>
            </w:tcBorders>
            <w:shd w:val="clear" w:color="auto" w:fill="auto"/>
          </w:tcPr>
          <w:p w14:paraId="1F214013" w14:textId="77777777" w:rsidR="007559E2" w:rsidRPr="00125CCC" w:rsidRDefault="007559E2" w:rsidP="00E12F74">
            <w:pPr>
              <w:tabs>
                <w:tab w:val="left" w:pos="2184"/>
              </w:tabs>
              <w:jc w:val="center"/>
              <w:rPr>
                <w:sz w:val="4"/>
                <w:szCs w:val="4"/>
              </w:rPr>
            </w:pPr>
          </w:p>
          <w:p w14:paraId="1F214014" w14:textId="77777777" w:rsidR="007559E2" w:rsidRPr="00F95949" w:rsidRDefault="007559E2" w:rsidP="00F95949">
            <w:pPr>
              <w:tabs>
                <w:tab w:val="left" w:pos="2184"/>
              </w:tabs>
              <w:jc w:val="center"/>
              <w:rPr>
                <w:sz w:val="14"/>
                <w:szCs w:val="14"/>
              </w:rPr>
            </w:pPr>
            <w:r w:rsidRPr="00125CCC">
              <w:rPr>
                <w:sz w:val="14"/>
                <w:szCs w:val="14"/>
              </w:rPr>
              <w:t>10%</w:t>
            </w:r>
          </w:p>
        </w:tc>
        <w:tc>
          <w:tcPr>
            <w:tcW w:w="587" w:type="pct"/>
            <w:tcBorders>
              <w:bottom w:val="single" w:sz="4" w:space="0" w:color="auto"/>
            </w:tcBorders>
            <w:shd w:val="clear" w:color="auto" w:fill="auto"/>
          </w:tcPr>
          <w:p w14:paraId="1F214015" w14:textId="77777777" w:rsidR="007559E2" w:rsidRPr="00125CCC" w:rsidRDefault="007559E2" w:rsidP="00E12F74">
            <w:pPr>
              <w:tabs>
                <w:tab w:val="left" w:pos="2184"/>
              </w:tabs>
              <w:jc w:val="center"/>
              <w:rPr>
                <w:sz w:val="4"/>
                <w:szCs w:val="4"/>
              </w:rPr>
            </w:pPr>
          </w:p>
          <w:p w14:paraId="1F214016" w14:textId="77777777" w:rsidR="007559E2" w:rsidRPr="00F95949" w:rsidRDefault="007559E2" w:rsidP="00494EFD">
            <w:pPr>
              <w:tabs>
                <w:tab w:val="left" w:pos="2184"/>
              </w:tabs>
              <w:jc w:val="center"/>
              <w:rPr>
                <w:sz w:val="14"/>
                <w:szCs w:val="14"/>
              </w:rPr>
            </w:pPr>
            <w:r w:rsidRPr="00125CCC">
              <w:rPr>
                <w:sz w:val="14"/>
                <w:szCs w:val="14"/>
              </w:rPr>
              <w:t>8</w:t>
            </w:r>
            <w:r>
              <w:rPr>
                <w:sz w:val="14"/>
                <w:szCs w:val="14"/>
              </w:rPr>
              <w:t>2</w:t>
            </w:r>
            <w:r w:rsidRPr="00125CCC">
              <w:rPr>
                <w:sz w:val="14"/>
                <w:szCs w:val="14"/>
              </w:rPr>
              <w:t>%</w:t>
            </w:r>
          </w:p>
        </w:tc>
        <w:tc>
          <w:tcPr>
            <w:tcW w:w="648" w:type="pct"/>
            <w:tcBorders>
              <w:bottom w:val="single" w:sz="4" w:space="0" w:color="auto"/>
            </w:tcBorders>
            <w:shd w:val="clear" w:color="auto" w:fill="auto"/>
          </w:tcPr>
          <w:p w14:paraId="1F214017" w14:textId="77777777" w:rsidR="007559E2" w:rsidRPr="00125CCC" w:rsidRDefault="007559E2" w:rsidP="00E12F74">
            <w:pPr>
              <w:tabs>
                <w:tab w:val="left" w:pos="2184"/>
              </w:tabs>
              <w:jc w:val="center"/>
              <w:rPr>
                <w:sz w:val="4"/>
                <w:szCs w:val="4"/>
              </w:rPr>
            </w:pPr>
          </w:p>
          <w:p w14:paraId="1F214018" w14:textId="77777777" w:rsidR="007559E2" w:rsidRPr="00F95949" w:rsidRDefault="007559E2" w:rsidP="00F95949">
            <w:pPr>
              <w:tabs>
                <w:tab w:val="left" w:pos="2184"/>
              </w:tabs>
              <w:jc w:val="center"/>
              <w:rPr>
                <w:sz w:val="14"/>
                <w:szCs w:val="14"/>
              </w:rPr>
            </w:pPr>
            <w:r w:rsidRPr="00125CCC">
              <w:rPr>
                <w:sz w:val="14"/>
                <w:szCs w:val="14"/>
              </w:rPr>
              <w:t>5%</w:t>
            </w:r>
          </w:p>
        </w:tc>
        <w:tc>
          <w:tcPr>
            <w:tcW w:w="718" w:type="pct"/>
            <w:tcBorders>
              <w:bottom w:val="single" w:sz="4" w:space="0" w:color="auto"/>
            </w:tcBorders>
            <w:shd w:val="clear" w:color="auto" w:fill="auto"/>
            <w:vAlign w:val="bottom"/>
          </w:tcPr>
          <w:p w14:paraId="1F214019" w14:textId="77777777" w:rsidR="007559E2" w:rsidRPr="00125CCC" w:rsidRDefault="007559E2" w:rsidP="00705637">
            <w:pPr>
              <w:tabs>
                <w:tab w:val="left" w:pos="2184"/>
              </w:tabs>
              <w:jc w:val="center"/>
              <w:rPr>
                <w:sz w:val="14"/>
                <w:szCs w:val="14"/>
              </w:rPr>
            </w:pPr>
            <w:r>
              <w:rPr>
                <w:sz w:val="14"/>
                <w:szCs w:val="14"/>
              </w:rPr>
              <w:t>2</w:t>
            </w:r>
            <w:r w:rsidRPr="00125CCC">
              <w:rPr>
                <w:sz w:val="14"/>
                <w:szCs w:val="14"/>
              </w:rPr>
              <w:t>%</w:t>
            </w:r>
          </w:p>
        </w:tc>
        <w:tc>
          <w:tcPr>
            <w:tcW w:w="646" w:type="pct"/>
            <w:tcBorders>
              <w:bottom w:val="single" w:sz="4" w:space="0" w:color="auto"/>
            </w:tcBorders>
            <w:shd w:val="clear" w:color="auto" w:fill="auto"/>
            <w:vAlign w:val="center"/>
          </w:tcPr>
          <w:p w14:paraId="1F21401A" w14:textId="77777777" w:rsidR="007559E2" w:rsidRPr="00125CCC" w:rsidRDefault="007559E2" w:rsidP="00494EFD">
            <w:pPr>
              <w:tabs>
                <w:tab w:val="left" w:pos="2184"/>
              </w:tabs>
              <w:jc w:val="center"/>
              <w:rPr>
                <w:sz w:val="14"/>
                <w:szCs w:val="14"/>
              </w:rPr>
            </w:pPr>
            <w:r w:rsidRPr="00125CCC">
              <w:rPr>
                <w:sz w:val="14"/>
                <w:szCs w:val="14"/>
              </w:rPr>
              <w:t>1%</w:t>
            </w:r>
          </w:p>
        </w:tc>
        <w:tc>
          <w:tcPr>
            <w:tcW w:w="617" w:type="pct"/>
            <w:tcBorders>
              <w:bottom w:val="single" w:sz="4" w:space="0" w:color="auto"/>
            </w:tcBorders>
            <w:shd w:val="clear" w:color="auto" w:fill="auto"/>
          </w:tcPr>
          <w:p w14:paraId="1F21401B" w14:textId="77777777" w:rsidR="007559E2" w:rsidRPr="00125CCC" w:rsidRDefault="007559E2" w:rsidP="00E12F74">
            <w:pPr>
              <w:tabs>
                <w:tab w:val="left" w:pos="2184"/>
              </w:tabs>
              <w:jc w:val="center"/>
              <w:rPr>
                <w:sz w:val="4"/>
                <w:szCs w:val="4"/>
              </w:rPr>
            </w:pPr>
          </w:p>
          <w:p w14:paraId="1F21401C" w14:textId="77777777" w:rsidR="007559E2" w:rsidRPr="00F95949" w:rsidRDefault="007559E2" w:rsidP="00F95949">
            <w:pPr>
              <w:tabs>
                <w:tab w:val="left" w:pos="2184"/>
              </w:tabs>
              <w:jc w:val="center"/>
              <w:rPr>
                <w:sz w:val="12"/>
                <w:szCs w:val="12"/>
              </w:rPr>
            </w:pPr>
            <w:r w:rsidRPr="00125CCC">
              <w:rPr>
                <w:sz w:val="12"/>
                <w:szCs w:val="12"/>
              </w:rPr>
              <w:t>55 ára og eldri</w:t>
            </w:r>
          </w:p>
        </w:tc>
      </w:tr>
      <w:tr w:rsidR="007559E2" w:rsidRPr="00125CCC" w14:paraId="1F21402A" w14:textId="77777777" w:rsidTr="007559E2">
        <w:tc>
          <w:tcPr>
            <w:tcW w:w="498" w:type="pct"/>
            <w:tcBorders>
              <w:bottom w:val="single" w:sz="4" w:space="0" w:color="auto"/>
            </w:tcBorders>
          </w:tcPr>
          <w:p w14:paraId="1F21401E" w14:textId="77777777" w:rsidR="007559E2" w:rsidRPr="00125CCC" w:rsidRDefault="007559E2" w:rsidP="00E12F74">
            <w:pPr>
              <w:autoSpaceDE w:val="0"/>
              <w:autoSpaceDN w:val="0"/>
              <w:adjustRightInd w:val="0"/>
              <w:rPr>
                <w:sz w:val="4"/>
                <w:szCs w:val="4"/>
              </w:rPr>
            </w:pPr>
          </w:p>
          <w:p w14:paraId="1F21401F" w14:textId="77777777" w:rsidR="007559E2" w:rsidRPr="00F95949" w:rsidRDefault="007559E2" w:rsidP="00F95949">
            <w:pPr>
              <w:autoSpaceDE w:val="0"/>
              <w:autoSpaceDN w:val="0"/>
              <w:adjustRightInd w:val="0"/>
              <w:rPr>
                <w:sz w:val="14"/>
                <w:szCs w:val="14"/>
              </w:rPr>
            </w:pPr>
            <w:r>
              <w:rPr>
                <w:sz w:val="14"/>
                <w:szCs w:val="14"/>
              </w:rPr>
              <w:fldChar w:fldCharType="begin">
                <w:ffData>
                  <w:name w:val="Check9"/>
                  <w:enabled/>
                  <w:calcOnExit w:val="0"/>
                  <w:checkBox>
                    <w:sizeAuto/>
                    <w:default w:val="0"/>
                  </w:checkBox>
                </w:ffData>
              </w:fldChar>
            </w:r>
            <w:bookmarkStart w:id="19" w:name="Check9"/>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bookmarkEnd w:id="19"/>
          </w:p>
        </w:tc>
        <w:tc>
          <w:tcPr>
            <w:tcW w:w="715" w:type="pct"/>
            <w:tcBorders>
              <w:bottom w:val="single" w:sz="4" w:space="0" w:color="auto"/>
            </w:tcBorders>
            <w:shd w:val="clear" w:color="auto" w:fill="auto"/>
          </w:tcPr>
          <w:p w14:paraId="1F214020" w14:textId="77777777" w:rsidR="007559E2" w:rsidRPr="00125CCC" w:rsidRDefault="007559E2" w:rsidP="00E12F74">
            <w:pPr>
              <w:tabs>
                <w:tab w:val="left" w:pos="2184"/>
              </w:tabs>
              <w:rPr>
                <w:b/>
                <w:sz w:val="4"/>
                <w:szCs w:val="4"/>
              </w:rPr>
            </w:pPr>
          </w:p>
          <w:p w14:paraId="1F214021" w14:textId="77777777" w:rsidR="007559E2" w:rsidRPr="00125CCC" w:rsidRDefault="007559E2" w:rsidP="00E12F74">
            <w:pPr>
              <w:tabs>
                <w:tab w:val="left" w:pos="2184"/>
              </w:tabs>
              <w:rPr>
                <w:b/>
                <w:sz w:val="14"/>
                <w:szCs w:val="14"/>
              </w:rPr>
            </w:pPr>
            <w:r w:rsidRPr="00125CCC">
              <w:rPr>
                <w:b/>
                <w:sz w:val="14"/>
                <w:szCs w:val="14"/>
              </w:rPr>
              <w:t>Lífeyrisauki 5**</w:t>
            </w:r>
          </w:p>
        </w:tc>
        <w:tc>
          <w:tcPr>
            <w:tcW w:w="570" w:type="pct"/>
            <w:tcBorders>
              <w:bottom w:val="single" w:sz="4" w:space="0" w:color="auto"/>
            </w:tcBorders>
            <w:shd w:val="clear" w:color="auto" w:fill="auto"/>
          </w:tcPr>
          <w:p w14:paraId="1F214022" w14:textId="77777777" w:rsidR="007559E2" w:rsidRPr="00125CCC" w:rsidRDefault="007559E2" w:rsidP="00E12F74">
            <w:pPr>
              <w:tabs>
                <w:tab w:val="left" w:pos="2184"/>
              </w:tabs>
              <w:jc w:val="center"/>
              <w:rPr>
                <w:sz w:val="14"/>
                <w:szCs w:val="14"/>
              </w:rPr>
            </w:pPr>
          </w:p>
        </w:tc>
        <w:tc>
          <w:tcPr>
            <w:tcW w:w="587" w:type="pct"/>
            <w:tcBorders>
              <w:bottom w:val="single" w:sz="4" w:space="0" w:color="auto"/>
            </w:tcBorders>
            <w:shd w:val="clear" w:color="auto" w:fill="auto"/>
          </w:tcPr>
          <w:p w14:paraId="1F214023" w14:textId="77777777" w:rsidR="007559E2" w:rsidRPr="00125CCC" w:rsidRDefault="007559E2" w:rsidP="00E12F74">
            <w:pPr>
              <w:tabs>
                <w:tab w:val="left" w:pos="2184"/>
              </w:tabs>
              <w:jc w:val="center"/>
              <w:rPr>
                <w:sz w:val="14"/>
                <w:szCs w:val="14"/>
              </w:rPr>
            </w:pPr>
          </w:p>
        </w:tc>
        <w:tc>
          <w:tcPr>
            <w:tcW w:w="648" w:type="pct"/>
            <w:tcBorders>
              <w:bottom w:val="single" w:sz="4" w:space="0" w:color="auto"/>
            </w:tcBorders>
            <w:shd w:val="clear" w:color="auto" w:fill="auto"/>
          </w:tcPr>
          <w:p w14:paraId="1F214024" w14:textId="77777777" w:rsidR="007559E2" w:rsidRPr="00125CCC" w:rsidRDefault="007559E2" w:rsidP="00E12F74">
            <w:pPr>
              <w:tabs>
                <w:tab w:val="left" w:pos="2184"/>
              </w:tabs>
              <w:jc w:val="center"/>
              <w:rPr>
                <w:sz w:val="14"/>
                <w:szCs w:val="14"/>
              </w:rPr>
            </w:pPr>
          </w:p>
        </w:tc>
        <w:tc>
          <w:tcPr>
            <w:tcW w:w="718" w:type="pct"/>
            <w:tcBorders>
              <w:bottom w:val="single" w:sz="4" w:space="0" w:color="auto"/>
            </w:tcBorders>
            <w:shd w:val="clear" w:color="auto" w:fill="auto"/>
          </w:tcPr>
          <w:p w14:paraId="1F214025" w14:textId="77777777" w:rsidR="007559E2" w:rsidRPr="00125CCC" w:rsidRDefault="007559E2" w:rsidP="00E12F74">
            <w:pPr>
              <w:tabs>
                <w:tab w:val="left" w:pos="2184"/>
              </w:tabs>
              <w:jc w:val="center"/>
              <w:rPr>
                <w:sz w:val="14"/>
                <w:szCs w:val="14"/>
              </w:rPr>
            </w:pPr>
          </w:p>
        </w:tc>
        <w:tc>
          <w:tcPr>
            <w:tcW w:w="646" w:type="pct"/>
            <w:tcBorders>
              <w:bottom w:val="single" w:sz="4" w:space="0" w:color="auto"/>
            </w:tcBorders>
            <w:shd w:val="clear" w:color="auto" w:fill="auto"/>
            <w:vAlign w:val="center"/>
          </w:tcPr>
          <w:p w14:paraId="1F214026" w14:textId="77777777" w:rsidR="007559E2" w:rsidRPr="00125CCC" w:rsidRDefault="007559E2" w:rsidP="00494EFD">
            <w:pPr>
              <w:tabs>
                <w:tab w:val="left" w:pos="2184"/>
              </w:tabs>
              <w:jc w:val="center"/>
              <w:rPr>
                <w:sz w:val="4"/>
                <w:szCs w:val="4"/>
              </w:rPr>
            </w:pPr>
          </w:p>
          <w:p w14:paraId="1F214027" w14:textId="77777777" w:rsidR="007559E2" w:rsidRPr="00F95949" w:rsidRDefault="007559E2" w:rsidP="00494EFD">
            <w:pPr>
              <w:tabs>
                <w:tab w:val="left" w:pos="2184"/>
              </w:tabs>
              <w:jc w:val="center"/>
              <w:rPr>
                <w:sz w:val="14"/>
                <w:szCs w:val="14"/>
              </w:rPr>
            </w:pPr>
            <w:r w:rsidRPr="00125CCC">
              <w:rPr>
                <w:sz w:val="14"/>
                <w:szCs w:val="14"/>
              </w:rPr>
              <w:t>100%</w:t>
            </w:r>
          </w:p>
        </w:tc>
        <w:tc>
          <w:tcPr>
            <w:tcW w:w="617" w:type="pct"/>
            <w:tcBorders>
              <w:bottom w:val="single" w:sz="4" w:space="0" w:color="auto"/>
            </w:tcBorders>
            <w:shd w:val="clear" w:color="auto" w:fill="auto"/>
          </w:tcPr>
          <w:p w14:paraId="1F214028" w14:textId="77777777" w:rsidR="007559E2" w:rsidRPr="00125CCC" w:rsidRDefault="007559E2" w:rsidP="00E12F74">
            <w:pPr>
              <w:tabs>
                <w:tab w:val="left" w:pos="2184"/>
              </w:tabs>
              <w:jc w:val="center"/>
              <w:rPr>
                <w:sz w:val="4"/>
                <w:szCs w:val="4"/>
              </w:rPr>
            </w:pPr>
          </w:p>
          <w:p w14:paraId="1F214029" w14:textId="77777777" w:rsidR="007559E2" w:rsidRPr="00F95949" w:rsidRDefault="007559E2" w:rsidP="00F95949">
            <w:pPr>
              <w:tabs>
                <w:tab w:val="left" w:pos="2184"/>
              </w:tabs>
              <w:jc w:val="center"/>
              <w:rPr>
                <w:sz w:val="12"/>
                <w:szCs w:val="12"/>
              </w:rPr>
            </w:pPr>
            <w:r w:rsidRPr="00125CCC">
              <w:rPr>
                <w:sz w:val="12"/>
                <w:szCs w:val="12"/>
              </w:rPr>
              <w:t>Lífeyrisþegar</w:t>
            </w:r>
          </w:p>
        </w:tc>
      </w:tr>
      <w:tr w:rsidR="007559E2" w:rsidRPr="00125CCC" w14:paraId="1F214036" w14:textId="77777777" w:rsidTr="007559E2">
        <w:tc>
          <w:tcPr>
            <w:tcW w:w="498" w:type="pct"/>
            <w:tcBorders>
              <w:bottom w:val="single" w:sz="4" w:space="0" w:color="auto"/>
            </w:tcBorders>
          </w:tcPr>
          <w:p w14:paraId="1F21402B" w14:textId="77777777" w:rsidR="007559E2" w:rsidRPr="00125CCC" w:rsidRDefault="007559E2" w:rsidP="00E12F74">
            <w:pPr>
              <w:autoSpaceDE w:val="0"/>
              <w:autoSpaceDN w:val="0"/>
              <w:adjustRightInd w:val="0"/>
              <w:rPr>
                <w:sz w:val="4"/>
                <w:szCs w:val="4"/>
              </w:rPr>
            </w:pPr>
          </w:p>
          <w:p w14:paraId="1F21402C" w14:textId="77777777" w:rsidR="007559E2" w:rsidRPr="00F95949" w:rsidRDefault="007559E2" w:rsidP="00F95949">
            <w:pPr>
              <w:autoSpaceDE w:val="0"/>
              <w:autoSpaceDN w:val="0"/>
              <w:adjustRightInd w:val="0"/>
              <w:rPr>
                <w:sz w:val="14"/>
                <w:szCs w:val="14"/>
              </w:rPr>
            </w:pPr>
            <w:r>
              <w:rPr>
                <w:sz w:val="14"/>
                <w:szCs w:val="14"/>
              </w:rPr>
              <w:fldChar w:fldCharType="begin">
                <w:ffData>
                  <w:name w:val="Check10"/>
                  <w:enabled/>
                  <w:calcOnExit w:val="0"/>
                  <w:checkBox>
                    <w:sizeAuto/>
                    <w:default w:val="0"/>
                  </w:checkBox>
                </w:ffData>
              </w:fldChar>
            </w:r>
            <w:bookmarkStart w:id="20" w:name="Check10"/>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bookmarkEnd w:id="20"/>
          </w:p>
        </w:tc>
        <w:tc>
          <w:tcPr>
            <w:tcW w:w="715" w:type="pct"/>
            <w:tcBorders>
              <w:bottom w:val="single" w:sz="4" w:space="0" w:color="auto"/>
            </w:tcBorders>
            <w:shd w:val="clear" w:color="auto" w:fill="auto"/>
          </w:tcPr>
          <w:p w14:paraId="1F21402D" w14:textId="77777777" w:rsidR="007559E2" w:rsidRPr="00125CCC" w:rsidRDefault="007559E2" w:rsidP="00E12F74">
            <w:pPr>
              <w:tabs>
                <w:tab w:val="left" w:pos="2184"/>
              </w:tabs>
              <w:rPr>
                <w:b/>
                <w:sz w:val="4"/>
                <w:szCs w:val="4"/>
              </w:rPr>
            </w:pPr>
          </w:p>
          <w:p w14:paraId="1F21402E" w14:textId="77777777" w:rsidR="007559E2" w:rsidRPr="00F95949" w:rsidRDefault="007559E2" w:rsidP="00E12F74">
            <w:pPr>
              <w:tabs>
                <w:tab w:val="left" w:pos="2184"/>
              </w:tabs>
              <w:rPr>
                <w:b/>
                <w:sz w:val="14"/>
                <w:szCs w:val="14"/>
              </w:rPr>
            </w:pPr>
            <w:r w:rsidRPr="00125CCC">
              <w:rPr>
                <w:b/>
                <w:sz w:val="14"/>
                <w:szCs w:val="14"/>
              </w:rPr>
              <w:t xml:space="preserve">Innl. skbr. </w:t>
            </w:r>
          </w:p>
        </w:tc>
        <w:tc>
          <w:tcPr>
            <w:tcW w:w="570" w:type="pct"/>
            <w:tcBorders>
              <w:bottom w:val="single" w:sz="4" w:space="0" w:color="auto"/>
            </w:tcBorders>
            <w:shd w:val="clear" w:color="auto" w:fill="auto"/>
          </w:tcPr>
          <w:p w14:paraId="1F21402F" w14:textId="77777777" w:rsidR="007559E2" w:rsidRPr="00125CCC" w:rsidRDefault="007559E2" w:rsidP="00E12F74">
            <w:pPr>
              <w:tabs>
                <w:tab w:val="left" w:pos="2184"/>
              </w:tabs>
              <w:jc w:val="center"/>
              <w:rPr>
                <w:sz w:val="4"/>
                <w:szCs w:val="4"/>
              </w:rPr>
            </w:pPr>
          </w:p>
        </w:tc>
        <w:tc>
          <w:tcPr>
            <w:tcW w:w="587" w:type="pct"/>
            <w:tcBorders>
              <w:bottom w:val="single" w:sz="4" w:space="0" w:color="auto"/>
            </w:tcBorders>
            <w:shd w:val="clear" w:color="auto" w:fill="auto"/>
          </w:tcPr>
          <w:p w14:paraId="1F214030" w14:textId="77777777" w:rsidR="007559E2" w:rsidRPr="00125CCC" w:rsidRDefault="007559E2" w:rsidP="00E12F74">
            <w:pPr>
              <w:tabs>
                <w:tab w:val="left" w:pos="2184"/>
              </w:tabs>
              <w:jc w:val="center"/>
              <w:rPr>
                <w:sz w:val="4"/>
                <w:szCs w:val="4"/>
              </w:rPr>
            </w:pPr>
          </w:p>
          <w:p w14:paraId="1F214031" w14:textId="77777777" w:rsidR="007559E2" w:rsidRPr="00F95949" w:rsidRDefault="007559E2" w:rsidP="00F95949">
            <w:pPr>
              <w:tabs>
                <w:tab w:val="left" w:pos="2184"/>
              </w:tabs>
              <w:jc w:val="center"/>
              <w:rPr>
                <w:sz w:val="14"/>
                <w:szCs w:val="14"/>
              </w:rPr>
            </w:pPr>
            <w:r w:rsidRPr="00125CCC">
              <w:rPr>
                <w:sz w:val="14"/>
                <w:szCs w:val="14"/>
              </w:rPr>
              <w:t>100%</w:t>
            </w:r>
          </w:p>
        </w:tc>
        <w:tc>
          <w:tcPr>
            <w:tcW w:w="648" w:type="pct"/>
            <w:tcBorders>
              <w:bottom w:val="single" w:sz="4" w:space="0" w:color="auto"/>
            </w:tcBorders>
            <w:shd w:val="clear" w:color="auto" w:fill="auto"/>
          </w:tcPr>
          <w:p w14:paraId="1F214032" w14:textId="77777777" w:rsidR="007559E2" w:rsidRPr="00125CCC" w:rsidRDefault="007559E2" w:rsidP="00E12F74">
            <w:pPr>
              <w:tabs>
                <w:tab w:val="left" w:pos="2184"/>
              </w:tabs>
              <w:jc w:val="center"/>
              <w:rPr>
                <w:sz w:val="14"/>
                <w:szCs w:val="14"/>
              </w:rPr>
            </w:pPr>
          </w:p>
        </w:tc>
        <w:tc>
          <w:tcPr>
            <w:tcW w:w="718" w:type="pct"/>
            <w:tcBorders>
              <w:bottom w:val="single" w:sz="4" w:space="0" w:color="auto"/>
            </w:tcBorders>
            <w:shd w:val="clear" w:color="auto" w:fill="auto"/>
          </w:tcPr>
          <w:p w14:paraId="1F214033" w14:textId="77777777" w:rsidR="007559E2" w:rsidRPr="00125CCC" w:rsidRDefault="007559E2" w:rsidP="00E12F74">
            <w:pPr>
              <w:tabs>
                <w:tab w:val="left" w:pos="2184"/>
              </w:tabs>
              <w:jc w:val="center"/>
              <w:rPr>
                <w:sz w:val="14"/>
                <w:szCs w:val="14"/>
              </w:rPr>
            </w:pPr>
          </w:p>
        </w:tc>
        <w:tc>
          <w:tcPr>
            <w:tcW w:w="646" w:type="pct"/>
            <w:tcBorders>
              <w:bottom w:val="single" w:sz="4" w:space="0" w:color="auto"/>
            </w:tcBorders>
            <w:shd w:val="clear" w:color="auto" w:fill="auto"/>
            <w:vAlign w:val="center"/>
          </w:tcPr>
          <w:p w14:paraId="1F214034" w14:textId="77777777" w:rsidR="007559E2" w:rsidRPr="00125CCC" w:rsidRDefault="007559E2" w:rsidP="00494EFD">
            <w:pPr>
              <w:tabs>
                <w:tab w:val="left" w:pos="2184"/>
              </w:tabs>
              <w:jc w:val="center"/>
              <w:rPr>
                <w:sz w:val="14"/>
                <w:szCs w:val="14"/>
              </w:rPr>
            </w:pPr>
          </w:p>
        </w:tc>
        <w:tc>
          <w:tcPr>
            <w:tcW w:w="617" w:type="pct"/>
            <w:tcBorders>
              <w:bottom w:val="single" w:sz="4" w:space="0" w:color="auto"/>
            </w:tcBorders>
            <w:shd w:val="clear" w:color="auto" w:fill="auto"/>
          </w:tcPr>
          <w:p w14:paraId="1F214035" w14:textId="77777777" w:rsidR="007559E2" w:rsidRPr="00125CCC" w:rsidRDefault="007559E2" w:rsidP="00E12F74">
            <w:pPr>
              <w:tabs>
                <w:tab w:val="left" w:pos="2184"/>
              </w:tabs>
              <w:jc w:val="center"/>
              <w:rPr>
                <w:sz w:val="14"/>
                <w:szCs w:val="14"/>
              </w:rPr>
            </w:pPr>
          </w:p>
        </w:tc>
      </w:tr>
      <w:tr w:rsidR="007559E2" w:rsidRPr="00125CCC" w14:paraId="1F214043" w14:textId="77777777" w:rsidTr="007559E2">
        <w:trPr>
          <w:trHeight w:val="227"/>
        </w:trPr>
        <w:tc>
          <w:tcPr>
            <w:tcW w:w="498" w:type="pct"/>
            <w:tcBorders>
              <w:bottom w:val="single" w:sz="4" w:space="0" w:color="auto"/>
            </w:tcBorders>
          </w:tcPr>
          <w:p w14:paraId="1F214037" w14:textId="77777777" w:rsidR="007559E2" w:rsidRDefault="007559E2" w:rsidP="00E12F74">
            <w:pPr>
              <w:autoSpaceDE w:val="0"/>
              <w:autoSpaceDN w:val="0"/>
              <w:adjustRightInd w:val="0"/>
              <w:rPr>
                <w:sz w:val="4"/>
                <w:szCs w:val="4"/>
              </w:rPr>
            </w:pPr>
          </w:p>
          <w:p w14:paraId="1F214038" w14:textId="77777777" w:rsidR="007559E2" w:rsidRPr="00F95949" w:rsidRDefault="007559E2" w:rsidP="00E12F74">
            <w:pPr>
              <w:autoSpaceDE w:val="0"/>
              <w:autoSpaceDN w:val="0"/>
              <w:adjustRightInd w:val="0"/>
              <w:rPr>
                <w:sz w:val="14"/>
                <w:szCs w:val="14"/>
              </w:rPr>
            </w:pPr>
            <w:r>
              <w:rPr>
                <w:sz w:val="14"/>
                <w:szCs w:val="14"/>
              </w:rPr>
              <w:fldChar w:fldCharType="begin">
                <w:ffData>
                  <w:name w:val="Check10"/>
                  <w:enabled/>
                  <w:calcOnExit w:val="0"/>
                  <w:checkBox>
                    <w:sizeAuto/>
                    <w:default w:val="0"/>
                  </w:checkBox>
                </w:ffData>
              </w:fldChar>
            </w:r>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p>
        </w:tc>
        <w:tc>
          <w:tcPr>
            <w:tcW w:w="715" w:type="pct"/>
            <w:tcBorders>
              <w:bottom w:val="single" w:sz="4" w:space="0" w:color="auto"/>
            </w:tcBorders>
            <w:shd w:val="clear" w:color="auto" w:fill="auto"/>
          </w:tcPr>
          <w:p w14:paraId="1F214039" w14:textId="77777777" w:rsidR="007559E2" w:rsidRDefault="007559E2" w:rsidP="00E12F74">
            <w:pPr>
              <w:tabs>
                <w:tab w:val="left" w:pos="2184"/>
              </w:tabs>
              <w:rPr>
                <w:b/>
                <w:sz w:val="4"/>
                <w:szCs w:val="4"/>
              </w:rPr>
            </w:pPr>
          </w:p>
          <w:p w14:paraId="1F21403A" w14:textId="77777777" w:rsidR="007559E2" w:rsidRPr="00F95949" w:rsidRDefault="007559E2" w:rsidP="00E12F74">
            <w:pPr>
              <w:tabs>
                <w:tab w:val="left" w:pos="2184"/>
              </w:tabs>
              <w:rPr>
                <w:b/>
                <w:sz w:val="14"/>
                <w:szCs w:val="14"/>
              </w:rPr>
            </w:pPr>
            <w:r>
              <w:rPr>
                <w:b/>
                <w:sz w:val="14"/>
                <w:szCs w:val="14"/>
              </w:rPr>
              <w:t>Erlend verðbr.</w:t>
            </w:r>
          </w:p>
        </w:tc>
        <w:tc>
          <w:tcPr>
            <w:tcW w:w="570" w:type="pct"/>
            <w:tcBorders>
              <w:bottom w:val="single" w:sz="4" w:space="0" w:color="auto"/>
            </w:tcBorders>
            <w:shd w:val="clear" w:color="auto" w:fill="auto"/>
          </w:tcPr>
          <w:p w14:paraId="1F21403B" w14:textId="77777777" w:rsidR="007559E2" w:rsidRPr="00125CCC" w:rsidRDefault="007559E2" w:rsidP="00E12F74">
            <w:pPr>
              <w:tabs>
                <w:tab w:val="left" w:pos="2184"/>
              </w:tabs>
              <w:jc w:val="center"/>
              <w:rPr>
                <w:sz w:val="4"/>
                <w:szCs w:val="4"/>
              </w:rPr>
            </w:pPr>
          </w:p>
        </w:tc>
        <w:tc>
          <w:tcPr>
            <w:tcW w:w="587" w:type="pct"/>
            <w:tcBorders>
              <w:bottom w:val="single" w:sz="4" w:space="0" w:color="auto"/>
            </w:tcBorders>
            <w:shd w:val="clear" w:color="auto" w:fill="auto"/>
          </w:tcPr>
          <w:p w14:paraId="1F21403C" w14:textId="77777777" w:rsidR="007559E2" w:rsidRPr="00125CCC" w:rsidRDefault="007559E2" w:rsidP="00E12F74">
            <w:pPr>
              <w:tabs>
                <w:tab w:val="left" w:pos="2184"/>
              </w:tabs>
              <w:jc w:val="center"/>
              <w:rPr>
                <w:sz w:val="4"/>
                <w:szCs w:val="4"/>
              </w:rPr>
            </w:pPr>
          </w:p>
        </w:tc>
        <w:tc>
          <w:tcPr>
            <w:tcW w:w="648" w:type="pct"/>
            <w:tcBorders>
              <w:bottom w:val="single" w:sz="4" w:space="0" w:color="auto"/>
            </w:tcBorders>
            <w:shd w:val="clear" w:color="auto" w:fill="auto"/>
          </w:tcPr>
          <w:p w14:paraId="1F21403D" w14:textId="77777777" w:rsidR="007559E2" w:rsidRDefault="007559E2" w:rsidP="00E12F74">
            <w:pPr>
              <w:tabs>
                <w:tab w:val="left" w:pos="2184"/>
              </w:tabs>
              <w:jc w:val="center"/>
              <w:rPr>
                <w:sz w:val="4"/>
                <w:szCs w:val="4"/>
              </w:rPr>
            </w:pPr>
          </w:p>
          <w:p w14:paraId="1F21403E" w14:textId="77777777" w:rsidR="007559E2" w:rsidRPr="00F95949" w:rsidRDefault="007559E2" w:rsidP="00F95949">
            <w:pPr>
              <w:tabs>
                <w:tab w:val="left" w:pos="2184"/>
              </w:tabs>
              <w:jc w:val="center"/>
              <w:rPr>
                <w:sz w:val="14"/>
                <w:szCs w:val="14"/>
              </w:rPr>
            </w:pPr>
            <w:r>
              <w:rPr>
                <w:sz w:val="14"/>
                <w:szCs w:val="14"/>
              </w:rPr>
              <w:t>60</w:t>
            </w:r>
            <w:r w:rsidRPr="00125CCC">
              <w:rPr>
                <w:sz w:val="14"/>
                <w:szCs w:val="14"/>
              </w:rPr>
              <w:t>%</w:t>
            </w:r>
          </w:p>
        </w:tc>
        <w:tc>
          <w:tcPr>
            <w:tcW w:w="718" w:type="pct"/>
            <w:tcBorders>
              <w:bottom w:val="single" w:sz="4" w:space="0" w:color="auto"/>
            </w:tcBorders>
            <w:shd w:val="clear" w:color="auto" w:fill="auto"/>
          </w:tcPr>
          <w:p w14:paraId="1F21403F" w14:textId="77777777" w:rsidR="007559E2" w:rsidRDefault="007559E2" w:rsidP="00E12F74">
            <w:pPr>
              <w:tabs>
                <w:tab w:val="left" w:pos="2184"/>
              </w:tabs>
              <w:jc w:val="center"/>
              <w:rPr>
                <w:sz w:val="4"/>
                <w:szCs w:val="4"/>
              </w:rPr>
            </w:pPr>
          </w:p>
          <w:p w14:paraId="1F214040" w14:textId="77777777" w:rsidR="007559E2" w:rsidRPr="00F95949" w:rsidRDefault="007559E2" w:rsidP="00F95949">
            <w:pPr>
              <w:tabs>
                <w:tab w:val="left" w:pos="2184"/>
              </w:tabs>
              <w:jc w:val="center"/>
              <w:rPr>
                <w:sz w:val="14"/>
                <w:szCs w:val="14"/>
              </w:rPr>
            </w:pPr>
            <w:r>
              <w:rPr>
                <w:sz w:val="14"/>
                <w:szCs w:val="14"/>
              </w:rPr>
              <w:t>25</w:t>
            </w:r>
            <w:r w:rsidRPr="00125CCC">
              <w:rPr>
                <w:sz w:val="14"/>
                <w:szCs w:val="14"/>
              </w:rPr>
              <w:t>%</w:t>
            </w:r>
          </w:p>
        </w:tc>
        <w:tc>
          <w:tcPr>
            <w:tcW w:w="646" w:type="pct"/>
            <w:tcBorders>
              <w:bottom w:val="single" w:sz="4" w:space="0" w:color="auto"/>
            </w:tcBorders>
            <w:shd w:val="clear" w:color="auto" w:fill="auto"/>
            <w:vAlign w:val="center"/>
          </w:tcPr>
          <w:p w14:paraId="1F214041" w14:textId="77777777" w:rsidR="007559E2" w:rsidRPr="00125CCC" w:rsidRDefault="007559E2" w:rsidP="00494EFD">
            <w:pPr>
              <w:tabs>
                <w:tab w:val="left" w:pos="2184"/>
              </w:tabs>
              <w:jc w:val="center"/>
              <w:rPr>
                <w:sz w:val="4"/>
                <w:szCs w:val="4"/>
              </w:rPr>
            </w:pPr>
            <w:r w:rsidRPr="00125CCC">
              <w:rPr>
                <w:sz w:val="14"/>
                <w:szCs w:val="14"/>
              </w:rPr>
              <w:t>1</w:t>
            </w:r>
            <w:r>
              <w:rPr>
                <w:sz w:val="14"/>
                <w:szCs w:val="14"/>
              </w:rPr>
              <w:t>5</w:t>
            </w:r>
            <w:r w:rsidRPr="00125CCC">
              <w:rPr>
                <w:sz w:val="14"/>
                <w:szCs w:val="14"/>
              </w:rPr>
              <w:t>%</w:t>
            </w:r>
          </w:p>
        </w:tc>
        <w:tc>
          <w:tcPr>
            <w:tcW w:w="617" w:type="pct"/>
            <w:tcBorders>
              <w:bottom w:val="single" w:sz="4" w:space="0" w:color="auto"/>
            </w:tcBorders>
            <w:shd w:val="clear" w:color="auto" w:fill="auto"/>
          </w:tcPr>
          <w:p w14:paraId="1F214042" w14:textId="77777777" w:rsidR="007559E2" w:rsidRPr="00125CCC" w:rsidRDefault="007559E2" w:rsidP="00E12F74">
            <w:pPr>
              <w:tabs>
                <w:tab w:val="left" w:pos="2184"/>
              </w:tabs>
              <w:jc w:val="center"/>
              <w:rPr>
                <w:sz w:val="4"/>
                <w:szCs w:val="4"/>
              </w:rPr>
            </w:pPr>
          </w:p>
        </w:tc>
      </w:tr>
      <w:tr w:rsidR="007559E2" w:rsidRPr="00125CCC" w14:paraId="1F214049" w14:textId="77777777" w:rsidTr="007559E2">
        <w:tc>
          <w:tcPr>
            <w:tcW w:w="498" w:type="pct"/>
            <w:tcBorders>
              <w:bottom w:val="single" w:sz="4" w:space="0" w:color="auto"/>
            </w:tcBorders>
          </w:tcPr>
          <w:p w14:paraId="1F214044" w14:textId="77777777" w:rsidR="007559E2" w:rsidRPr="00125CCC" w:rsidRDefault="007559E2" w:rsidP="00E12F74">
            <w:pPr>
              <w:autoSpaceDE w:val="0"/>
              <w:autoSpaceDN w:val="0"/>
              <w:adjustRightInd w:val="0"/>
              <w:rPr>
                <w:sz w:val="4"/>
                <w:szCs w:val="4"/>
              </w:rPr>
            </w:pPr>
          </w:p>
          <w:p w14:paraId="1F214045" w14:textId="77777777" w:rsidR="007559E2" w:rsidRPr="00F95949" w:rsidRDefault="007559E2" w:rsidP="00F95949">
            <w:pPr>
              <w:autoSpaceDE w:val="0"/>
              <w:autoSpaceDN w:val="0"/>
              <w:adjustRightInd w:val="0"/>
              <w:rPr>
                <w:sz w:val="14"/>
                <w:szCs w:val="14"/>
              </w:rPr>
            </w:pPr>
            <w:r>
              <w:rPr>
                <w:sz w:val="14"/>
                <w:szCs w:val="14"/>
              </w:rPr>
              <w:fldChar w:fldCharType="begin">
                <w:ffData>
                  <w:name w:val="Check11"/>
                  <w:enabled/>
                  <w:calcOnExit w:val="0"/>
                  <w:checkBox>
                    <w:sizeAuto/>
                    <w:default w:val="0"/>
                  </w:checkBox>
                </w:ffData>
              </w:fldChar>
            </w:r>
            <w:bookmarkStart w:id="21" w:name="Check11"/>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bookmarkEnd w:id="21"/>
          </w:p>
        </w:tc>
        <w:tc>
          <w:tcPr>
            <w:tcW w:w="715" w:type="pct"/>
            <w:tcBorders>
              <w:bottom w:val="single" w:sz="4" w:space="0" w:color="auto"/>
            </w:tcBorders>
            <w:shd w:val="clear" w:color="auto" w:fill="auto"/>
          </w:tcPr>
          <w:p w14:paraId="1F214046" w14:textId="77777777" w:rsidR="007559E2" w:rsidRPr="00125CCC" w:rsidRDefault="007559E2" w:rsidP="00E12F74">
            <w:pPr>
              <w:tabs>
                <w:tab w:val="left" w:pos="2184"/>
              </w:tabs>
              <w:rPr>
                <w:b/>
                <w:sz w:val="4"/>
                <w:szCs w:val="4"/>
              </w:rPr>
            </w:pPr>
          </w:p>
          <w:p w14:paraId="1F214047" w14:textId="77777777" w:rsidR="007559E2" w:rsidRPr="00F95949" w:rsidRDefault="007559E2" w:rsidP="00E12F74">
            <w:pPr>
              <w:tabs>
                <w:tab w:val="left" w:pos="2184"/>
              </w:tabs>
              <w:rPr>
                <w:b/>
                <w:sz w:val="14"/>
                <w:szCs w:val="14"/>
              </w:rPr>
            </w:pPr>
            <w:r w:rsidRPr="00125CCC">
              <w:rPr>
                <w:b/>
                <w:sz w:val="14"/>
                <w:szCs w:val="14"/>
              </w:rPr>
              <w:t xml:space="preserve">Ævilína </w:t>
            </w:r>
          </w:p>
        </w:tc>
        <w:tc>
          <w:tcPr>
            <w:tcW w:w="3786" w:type="pct"/>
            <w:gridSpan w:val="6"/>
            <w:tcBorders>
              <w:bottom w:val="single" w:sz="4" w:space="0" w:color="auto"/>
            </w:tcBorders>
            <w:shd w:val="clear" w:color="auto" w:fill="auto"/>
            <w:vAlign w:val="bottom"/>
          </w:tcPr>
          <w:p w14:paraId="1F214048" w14:textId="77777777" w:rsidR="007559E2" w:rsidRPr="00125CCC" w:rsidRDefault="007559E2" w:rsidP="007559E2">
            <w:pPr>
              <w:tabs>
                <w:tab w:val="left" w:pos="2184"/>
              </w:tabs>
              <w:rPr>
                <w:sz w:val="4"/>
                <w:szCs w:val="4"/>
              </w:rPr>
            </w:pPr>
            <w:r w:rsidRPr="00125CCC">
              <w:rPr>
                <w:sz w:val="14"/>
                <w:szCs w:val="14"/>
              </w:rPr>
              <w:t>Iðgjald og inneign rétthafa færast á milli Lífeyrisauka 1-5 eftir aldri</w:t>
            </w:r>
          </w:p>
        </w:tc>
      </w:tr>
    </w:tbl>
    <w:p w14:paraId="1F21404A" w14:textId="77777777" w:rsidR="0069266A" w:rsidRPr="00125CCC" w:rsidRDefault="0069266A" w:rsidP="0069266A">
      <w:pPr>
        <w:tabs>
          <w:tab w:val="left" w:pos="2184"/>
        </w:tabs>
        <w:rPr>
          <w:sz w:val="4"/>
          <w:szCs w:val="4"/>
        </w:rPr>
      </w:pPr>
    </w:p>
    <w:p w14:paraId="1F21404B" w14:textId="77777777" w:rsidR="0069266A" w:rsidRPr="00125CCC" w:rsidRDefault="0069266A" w:rsidP="0069266A">
      <w:pPr>
        <w:tabs>
          <w:tab w:val="left" w:pos="2184"/>
        </w:tabs>
        <w:rPr>
          <w:sz w:val="12"/>
          <w:szCs w:val="12"/>
        </w:rPr>
      </w:pPr>
      <w:r w:rsidRPr="00125CCC">
        <w:rPr>
          <w:sz w:val="12"/>
          <w:szCs w:val="12"/>
        </w:rPr>
        <w:t>*</w:t>
      </w:r>
      <w:r w:rsidRPr="00125CCC">
        <w:rPr>
          <w:sz w:val="12"/>
          <w:szCs w:val="12"/>
          <w:vertAlign w:val="superscript"/>
        </w:rPr>
        <w:t xml:space="preserve"> </w:t>
      </w:r>
      <w:r w:rsidRPr="00125CCC">
        <w:rPr>
          <w:sz w:val="12"/>
          <w:szCs w:val="12"/>
        </w:rPr>
        <w:t xml:space="preserve">Í töflunni að ofan eru hlutir og hlutdeildarskírteini annarra sjóða um sameiginlega fjárfestingu flokkaðir sem innlend hlutabréf. </w:t>
      </w:r>
    </w:p>
    <w:p w14:paraId="1F21404C" w14:textId="77777777" w:rsidR="0069266A" w:rsidRPr="00125CCC" w:rsidRDefault="0069266A" w:rsidP="0069266A">
      <w:pPr>
        <w:jc w:val="both"/>
        <w:rPr>
          <w:sz w:val="12"/>
          <w:szCs w:val="12"/>
        </w:rPr>
      </w:pPr>
      <w:r w:rsidRPr="00125CCC">
        <w:rPr>
          <w:sz w:val="12"/>
          <w:szCs w:val="12"/>
        </w:rPr>
        <w:t xml:space="preserve">** </w:t>
      </w:r>
      <w:r>
        <w:rPr>
          <w:sz w:val="12"/>
          <w:szCs w:val="12"/>
        </w:rPr>
        <w:t>Vakin er athygli á því</w:t>
      </w:r>
      <w:r w:rsidRPr="00125CCC">
        <w:rPr>
          <w:sz w:val="12"/>
          <w:szCs w:val="12"/>
        </w:rPr>
        <w:t xml:space="preserve"> að í gildi eru reglur um verðtryggingu sparifjár og lánsfjár, en þær segja m.a. til um binditíma verðtryggðra innlána. Samkvæmt þeim gæti komið til þess að binda þyrfti séreign rétthafa í Lífeyrisauka 5, sem fjárfestir í innlánum, </w:t>
      </w:r>
      <w:r>
        <w:rPr>
          <w:sz w:val="12"/>
          <w:szCs w:val="12"/>
        </w:rPr>
        <w:t xml:space="preserve">hjá Arion banka, </w:t>
      </w:r>
      <w:r w:rsidRPr="00125CCC">
        <w:rPr>
          <w:sz w:val="12"/>
          <w:szCs w:val="12"/>
        </w:rPr>
        <w:t>hafi samanlögð heildarinnlán leiðarinnar ekki uppfyllt binditímann.</w:t>
      </w:r>
    </w:p>
    <w:p w14:paraId="1F21404D" w14:textId="77777777" w:rsidR="0069266A" w:rsidRPr="00125CCC" w:rsidRDefault="0069266A" w:rsidP="0069266A">
      <w:pPr>
        <w:rPr>
          <w:sz w:val="6"/>
          <w:szCs w:val="6"/>
        </w:rPr>
      </w:pPr>
    </w:p>
    <w:p w14:paraId="1F21404E" w14:textId="77777777" w:rsidR="0069266A" w:rsidRPr="00125CCC" w:rsidRDefault="0069266A" w:rsidP="0069266A">
      <w:pPr>
        <w:rPr>
          <w:sz w:val="12"/>
          <w:szCs w:val="12"/>
        </w:rPr>
      </w:pPr>
      <w:r w:rsidRPr="00125CCC">
        <w:rPr>
          <w:sz w:val="12"/>
          <w:szCs w:val="12"/>
        </w:rPr>
        <w:t xml:space="preserve">Hlutfallstölur í ofangreindri töflu eru markmið um eignasamsetningu skv. fjárfestingarstefnu sjóðsins. Fjárfestingarstefnan er endurskoðuð a.m.k. árlega og getur breyst vegna lagabreytinga og/eða skv. ákvörðun vörsluaðila. Sjá nánari umfjöllun á baksíðu samningsins. </w:t>
      </w:r>
    </w:p>
    <w:p w14:paraId="1F21404F" w14:textId="77777777" w:rsidR="0069266A" w:rsidRPr="00125CCC" w:rsidRDefault="0069266A" w:rsidP="0069266A">
      <w:pPr>
        <w:rPr>
          <w:sz w:val="8"/>
          <w:szCs w:val="8"/>
        </w:rPr>
      </w:pPr>
    </w:p>
    <w:p w14:paraId="1F214050" w14:textId="77777777" w:rsidR="0069266A" w:rsidRPr="00AE770A" w:rsidRDefault="0069266A" w:rsidP="0069266A">
      <w:pPr>
        <w:jc w:val="both"/>
        <w:rPr>
          <w:b/>
          <w:sz w:val="16"/>
          <w:szCs w:val="18"/>
        </w:rPr>
      </w:pPr>
      <w:r w:rsidRPr="00AE770A">
        <w:rPr>
          <w:b/>
          <w:sz w:val="16"/>
          <w:szCs w:val="18"/>
        </w:rPr>
        <w:t xml:space="preserve">Mánaðarleg greiðsla skal innt af hendi með eftirfarandi hætti: </w:t>
      </w:r>
    </w:p>
    <w:tbl>
      <w:tblPr>
        <w:tblW w:w="5000" w:type="pct"/>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386"/>
        <w:gridCol w:w="2555"/>
        <w:gridCol w:w="978"/>
        <w:gridCol w:w="718"/>
        <w:gridCol w:w="428"/>
        <w:gridCol w:w="4793"/>
      </w:tblGrid>
      <w:tr w:rsidR="0069266A" w:rsidRPr="00125CCC" w14:paraId="1F214055" w14:textId="77777777" w:rsidTr="00E12F74">
        <w:tc>
          <w:tcPr>
            <w:tcW w:w="196" w:type="pct"/>
            <w:tcBorders>
              <w:top w:val="single" w:sz="2" w:space="0" w:color="auto"/>
              <w:bottom w:val="nil"/>
            </w:tcBorders>
          </w:tcPr>
          <w:p w14:paraId="1F214051" w14:textId="77777777" w:rsidR="0069266A" w:rsidRPr="00AE770A" w:rsidRDefault="0069266A" w:rsidP="00E12F74">
            <w:pPr>
              <w:autoSpaceDE w:val="0"/>
              <w:autoSpaceDN w:val="0"/>
              <w:adjustRightInd w:val="0"/>
              <w:rPr>
                <w:sz w:val="4"/>
                <w:szCs w:val="8"/>
                <w:bdr w:val="single" w:sz="4" w:space="0" w:color="auto"/>
              </w:rPr>
            </w:pPr>
          </w:p>
          <w:p w14:paraId="1F214052" w14:textId="77777777" w:rsidR="0069266A" w:rsidRPr="00F95949" w:rsidRDefault="004F577D" w:rsidP="00E12F74">
            <w:pPr>
              <w:autoSpaceDE w:val="0"/>
              <w:autoSpaceDN w:val="0"/>
              <w:adjustRightInd w:val="0"/>
              <w:rPr>
                <w:sz w:val="4"/>
                <w:szCs w:val="4"/>
              </w:rPr>
            </w:pPr>
            <w:r>
              <w:rPr>
                <w:sz w:val="14"/>
                <w:szCs w:val="14"/>
              </w:rPr>
              <w:fldChar w:fldCharType="begin">
                <w:ffData>
                  <w:name w:val="Check12"/>
                  <w:enabled/>
                  <w:calcOnExit w:val="0"/>
                  <w:checkBox>
                    <w:sizeAuto/>
                    <w:default w:val="0"/>
                  </w:checkBox>
                </w:ffData>
              </w:fldChar>
            </w:r>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p>
        </w:tc>
        <w:tc>
          <w:tcPr>
            <w:tcW w:w="4804" w:type="pct"/>
            <w:gridSpan w:val="5"/>
            <w:tcBorders>
              <w:top w:val="single" w:sz="2" w:space="0" w:color="auto"/>
              <w:bottom w:val="nil"/>
            </w:tcBorders>
          </w:tcPr>
          <w:p w14:paraId="1F214053" w14:textId="77777777" w:rsidR="0069266A" w:rsidRPr="00AE770A" w:rsidRDefault="0069266A" w:rsidP="00E12F74">
            <w:pPr>
              <w:autoSpaceDE w:val="0"/>
              <w:autoSpaceDN w:val="0"/>
              <w:adjustRightInd w:val="0"/>
              <w:rPr>
                <w:sz w:val="4"/>
                <w:szCs w:val="8"/>
              </w:rPr>
            </w:pPr>
          </w:p>
          <w:p w14:paraId="1F214054" w14:textId="77777777" w:rsidR="0069266A" w:rsidRPr="00125CCC" w:rsidRDefault="0069266A" w:rsidP="00E12F74">
            <w:pPr>
              <w:pStyle w:val="Footer"/>
              <w:tabs>
                <w:tab w:val="right" w:pos="9639"/>
              </w:tabs>
              <w:rPr>
                <w:sz w:val="14"/>
                <w:szCs w:val="14"/>
              </w:rPr>
            </w:pPr>
            <w:r w:rsidRPr="00125CCC">
              <w:rPr>
                <w:sz w:val="14"/>
                <w:szCs w:val="14"/>
              </w:rPr>
              <w:t xml:space="preserve">Launagreiðandi sendir greiðslu </w:t>
            </w:r>
          </w:p>
        </w:tc>
      </w:tr>
      <w:tr w:rsidR="0069266A" w:rsidRPr="00125CCC" w14:paraId="1F21406D" w14:textId="77777777" w:rsidTr="00E12F74">
        <w:tc>
          <w:tcPr>
            <w:tcW w:w="196" w:type="pct"/>
            <w:tcBorders>
              <w:top w:val="nil"/>
              <w:bottom w:val="nil"/>
            </w:tcBorders>
          </w:tcPr>
          <w:p w14:paraId="1F214062" w14:textId="77777777" w:rsidR="0069266A" w:rsidRPr="00F95949" w:rsidRDefault="0069266A" w:rsidP="00E12F74">
            <w:pPr>
              <w:autoSpaceDE w:val="0"/>
              <w:autoSpaceDN w:val="0"/>
              <w:adjustRightInd w:val="0"/>
              <w:rPr>
                <w:sz w:val="4"/>
                <w:szCs w:val="8"/>
              </w:rPr>
            </w:pPr>
          </w:p>
          <w:p w14:paraId="1F214063" w14:textId="77777777" w:rsidR="0069266A" w:rsidRPr="00F95949" w:rsidRDefault="004F577D" w:rsidP="00E12F74">
            <w:pPr>
              <w:autoSpaceDE w:val="0"/>
              <w:autoSpaceDN w:val="0"/>
              <w:adjustRightInd w:val="0"/>
              <w:rPr>
                <w:sz w:val="4"/>
                <w:szCs w:val="14"/>
              </w:rPr>
            </w:pPr>
            <w:r>
              <w:rPr>
                <w:sz w:val="14"/>
                <w:szCs w:val="14"/>
              </w:rPr>
              <w:fldChar w:fldCharType="begin">
                <w:ffData>
                  <w:name w:val="Check12"/>
                  <w:enabled/>
                  <w:calcOnExit w:val="0"/>
                  <w:checkBox>
                    <w:sizeAuto/>
                    <w:default w:val="0"/>
                  </w:checkBox>
                </w:ffData>
              </w:fldChar>
            </w:r>
            <w:r>
              <w:rPr>
                <w:sz w:val="14"/>
                <w:szCs w:val="14"/>
              </w:rPr>
              <w:instrText xml:space="preserve"> FORMCHECKBOX </w:instrText>
            </w:r>
            <w:r w:rsidR="002660BF">
              <w:rPr>
                <w:sz w:val="14"/>
                <w:szCs w:val="14"/>
              </w:rPr>
            </w:r>
            <w:r w:rsidR="002660BF">
              <w:rPr>
                <w:sz w:val="14"/>
                <w:szCs w:val="14"/>
              </w:rPr>
              <w:fldChar w:fldCharType="separate"/>
            </w:r>
            <w:r>
              <w:rPr>
                <w:sz w:val="14"/>
                <w:szCs w:val="14"/>
              </w:rPr>
              <w:fldChar w:fldCharType="end"/>
            </w:r>
          </w:p>
        </w:tc>
        <w:tc>
          <w:tcPr>
            <w:tcW w:w="1296" w:type="pct"/>
            <w:tcBorders>
              <w:top w:val="nil"/>
              <w:bottom w:val="nil"/>
            </w:tcBorders>
          </w:tcPr>
          <w:p w14:paraId="1F214064" w14:textId="77777777" w:rsidR="0069266A" w:rsidRPr="00F95949" w:rsidRDefault="0069266A" w:rsidP="00E12F74">
            <w:pPr>
              <w:autoSpaceDE w:val="0"/>
              <w:autoSpaceDN w:val="0"/>
              <w:adjustRightInd w:val="0"/>
              <w:rPr>
                <w:sz w:val="4"/>
                <w:szCs w:val="8"/>
              </w:rPr>
            </w:pPr>
          </w:p>
          <w:p w14:paraId="1F214065" w14:textId="77777777" w:rsidR="0069266A" w:rsidRPr="00125CCC" w:rsidRDefault="0069266A" w:rsidP="00E12F74">
            <w:pPr>
              <w:autoSpaceDE w:val="0"/>
              <w:autoSpaceDN w:val="0"/>
              <w:adjustRightInd w:val="0"/>
              <w:rPr>
                <w:sz w:val="14"/>
                <w:szCs w:val="14"/>
              </w:rPr>
            </w:pPr>
            <w:r w:rsidRPr="00125CCC">
              <w:rPr>
                <w:sz w:val="14"/>
                <w:szCs w:val="14"/>
              </w:rPr>
              <w:t>Kröfuáskrift, greidd í netbanka</w:t>
            </w:r>
          </w:p>
        </w:tc>
        <w:tc>
          <w:tcPr>
            <w:tcW w:w="496" w:type="pct"/>
            <w:tcBorders>
              <w:top w:val="nil"/>
              <w:bottom w:val="nil"/>
            </w:tcBorders>
          </w:tcPr>
          <w:p w14:paraId="1F214066" w14:textId="77777777" w:rsidR="0069266A" w:rsidRPr="00F95949" w:rsidRDefault="0069266A" w:rsidP="00E12F74">
            <w:pPr>
              <w:autoSpaceDE w:val="0"/>
              <w:autoSpaceDN w:val="0"/>
              <w:adjustRightInd w:val="0"/>
              <w:rPr>
                <w:sz w:val="4"/>
                <w:szCs w:val="8"/>
              </w:rPr>
            </w:pPr>
          </w:p>
          <w:p w14:paraId="1F214067" w14:textId="77777777" w:rsidR="0069266A" w:rsidRPr="00125CCC" w:rsidRDefault="0069266A" w:rsidP="00E12F74">
            <w:pPr>
              <w:autoSpaceDE w:val="0"/>
              <w:autoSpaceDN w:val="0"/>
              <w:adjustRightInd w:val="0"/>
              <w:rPr>
                <w:sz w:val="14"/>
                <w:szCs w:val="14"/>
              </w:rPr>
            </w:pPr>
            <w:r w:rsidRPr="00125CCC">
              <w:rPr>
                <w:sz w:val="14"/>
                <w:szCs w:val="14"/>
              </w:rPr>
              <w:t>Upphæð</w:t>
            </w:r>
          </w:p>
        </w:tc>
        <w:tc>
          <w:tcPr>
            <w:tcW w:w="364" w:type="pct"/>
            <w:tcBorders>
              <w:top w:val="nil"/>
              <w:bottom w:val="single" w:sz="2" w:space="0" w:color="auto"/>
            </w:tcBorders>
          </w:tcPr>
          <w:p w14:paraId="1F214068" w14:textId="77777777" w:rsidR="0069266A" w:rsidRPr="00F95949" w:rsidRDefault="0069266A" w:rsidP="00E12F74">
            <w:pPr>
              <w:autoSpaceDE w:val="0"/>
              <w:autoSpaceDN w:val="0"/>
              <w:adjustRightInd w:val="0"/>
              <w:rPr>
                <w:sz w:val="4"/>
                <w:szCs w:val="8"/>
              </w:rPr>
            </w:pPr>
          </w:p>
          <w:p w14:paraId="1F214069" w14:textId="77777777" w:rsidR="0069266A" w:rsidRPr="00125CCC" w:rsidRDefault="0069266A" w:rsidP="00E12F74">
            <w:pPr>
              <w:autoSpaceDE w:val="0"/>
              <w:autoSpaceDN w:val="0"/>
              <w:adjustRightInd w:val="0"/>
              <w:rPr>
                <w:sz w:val="14"/>
                <w:szCs w:val="14"/>
              </w:rPr>
            </w:pPr>
            <w:r w:rsidRPr="00125CCC">
              <w:rPr>
                <w:sz w:val="14"/>
                <w:szCs w:val="14"/>
              </w:rPr>
              <w:fldChar w:fldCharType="begin">
                <w:ffData>
                  <w:name w:val="GreidslaBankiUpphaed"/>
                  <w:enabled/>
                  <w:calcOnExit w:val="0"/>
                  <w:textInput>
                    <w:maxLength w:val="7"/>
                  </w:textInput>
                </w:ffData>
              </w:fldChar>
            </w:r>
            <w:r w:rsidRPr="00125CCC">
              <w:rPr>
                <w:sz w:val="14"/>
                <w:szCs w:val="14"/>
              </w:rPr>
              <w:instrText xml:space="preserve"> FORMTEXT </w:instrText>
            </w:r>
            <w:r w:rsidRPr="00125CCC">
              <w:rPr>
                <w:sz w:val="14"/>
                <w:szCs w:val="14"/>
              </w:rPr>
            </w:r>
            <w:r w:rsidRPr="00125CCC">
              <w:rPr>
                <w:sz w:val="14"/>
                <w:szCs w:val="14"/>
              </w:rPr>
              <w:fldChar w:fldCharType="separate"/>
            </w:r>
            <w:r w:rsidRPr="00125CCC">
              <w:rPr>
                <w:noProof/>
                <w:sz w:val="14"/>
                <w:szCs w:val="14"/>
              </w:rPr>
              <w:t> </w:t>
            </w:r>
            <w:r w:rsidRPr="00125CCC">
              <w:rPr>
                <w:noProof/>
                <w:sz w:val="14"/>
                <w:szCs w:val="14"/>
              </w:rPr>
              <w:t> </w:t>
            </w:r>
            <w:r w:rsidRPr="00125CCC">
              <w:rPr>
                <w:noProof/>
                <w:sz w:val="14"/>
                <w:szCs w:val="14"/>
              </w:rPr>
              <w:t> </w:t>
            </w:r>
            <w:r w:rsidRPr="00125CCC">
              <w:rPr>
                <w:noProof/>
                <w:sz w:val="14"/>
                <w:szCs w:val="14"/>
              </w:rPr>
              <w:t> </w:t>
            </w:r>
            <w:r w:rsidRPr="00125CCC">
              <w:rPr>
                <w:noProof/>
                <w:sz w:val="14"/>
                <w:szCs w:val="14"/>
              </w:rPr>
              <w:t> </w:t>
            </w:r>
            <w:r w:rsidRPr="00125CCC">
              <w:rPr>
                <w:sz w:val="14"/>
                <w:szCs w:val="14"/>
              </w:rPr>
              <w:fldChar w:fldCharType="end"/>
            </w:r>
          </w:p>
        </w:tc>
        <w:tc>
          <w:tcPr>
            <w:tcW w:w="217" w:type="pct"/>
            <w:tcBorders>
              <w:top w:val="nil"/>
              <w:bottom w:val="nil"/>
            </w:tcBorders>
          </w:tcPr>
          <w:p w14:paraId="1F21406A" w14:textId="77777777" w:rsidR="0069266A" w:rsidRPr="00F95949" w:rsidRDefault="0069266A" w:rsidP="00E12F74">
            <w:pPr>
              <w:autoSpaceDE w:val="0"/>
              <w:autoSpaceDN w:val="0"/>
              <w:adjustRightInd w:val="0"/>
              <w:rPr>
                <w:sz w:val="4"/>
                <w:szCs w:val="8"/>
              </w:rPr>
            </w:pPr>
          </w:p>
          <w:p w14:paraId="1F21406B" w14:textId="77777777" w:rsidR="0069266A" w:rsidRPr="00125CCC" w:rsidRDefault="0069266A" w:rsidP="00E12F74">
            <w:pPr>
              <w:autoSpaceDE w:val="0"/>
              <w:autoSpaceDN w:val="0"/>
              <w:adjustRightInd w:val="0"/>
              <w:rPr>
                <w:sz w:val="12"/>
                <w:szCs w:val="12"/>
              </w:rPr>
            </w:pPr>
            <w:r w:rsidRPr="00125CCC">
              <w:rPr>
                <w:sz w:val="12"/>
                <w:szCs w:val="12"/>
              </w:rPr>
              <w:t>kr.</w:t>
            </w:r>
          </w:p>
        </w:tc>
        <w:tc>
          <w:tcPr>
            <w:tcW w:w="2431" w:type="pct"/>
            <w:tcBorders>
              <w:top w:val="nil"/>
              <w:bottom w:val="nil"/>
            </w:tcBorders>
          </w:tcPr>
          <w:p w14:paraId="1F21406C" w14:textId="77777777" w:rsidR="0069266A" w:rsidRPr="00125CCC" w:rsidRDefault="0069266A" w:rsidP="00E12F74">
            <w:pPr>
              <w:autoSpaceDE w:val="0"/>
              <w:autoSpaceDN w:val="0"/>
              <w:adjustRightInd w:val="0"/>
              <w:rPr>
                <w:sz w:val="12"/>
                <w:szCs w:val="12"/>
              </w:rPr>
            </w:pPr>
          </w:p>
        </w:tc>
      </w:tr>
      <w:tr w:rsidR="00F95949" w:rsidRPr="00125CCC" w14:paraId="1F214073" w14:textId="77777777" w:rsidTr="00F95949">
        <w:tc>
          <w:tcPr>
            <w:tcW w:w="5000" w:type="pct"/>
            <w:gridSpan w:val="6"/>
            <w:tcBorders>
              <w:top w:val="dashed" w:sz="4" w:space="0" w:color="auto"/>
              <w:bottom w:val="single" w:sz="2" w:space="0" w:color="auto"/>
            </w:tcBorders>
          </w:tcPr>
          <w:p w14:paraId="1F214072" w14:textId="0FAC52DF" w:rsidR="00F95949" w:rsidRPr="005A744F" w:rsidRDefault="00F95949" w:rsidP="00E12F74">
            <w:pPr>
              <w:pStyle w:val="PlainText"/>
              <w:rPr>
                <w:rFonts w:asciiTheme="minorHAnsi" w:hAnsiTheme="minorHAnsi"/>
                <w:sz w:val="6"/>
                <w:szCs w:val="12"/>
              </w:rPr>
            </w:pPr>
          </w:p>
        </w:tc>
      </w:tr>
    </w:tbl>
    <w:p w14:paraId="1F214074" w14:textId="77777777" w:rsidR="0069266A" w:rsidRPr="0069266A" w:rsidRDefault="0069266A" w:rsidP="00AB0BE1">
      <w:pPr>
        <w:rPr>
          <w:sz w:val="6"/>
          <w:szCs w:val="6"/>
        </w:rPr>
      </w:pPr>
    </w:p>
    <w:p w14:paraId="1F214075" w14:textId="77777777" w:rsidR="0069266A" w:rsidRPr="00AE770A" w:rsidRDefault="0069266A" w:rsidP="0069266A">
      <w:pPr>
        <w:tabs>
          <w:tab w:val="left" w:pos="2184"/>
        </w:tabs>
        <w:outlineLvl w:val="0"/>
        <w:rPr>
          <w:b/>
          <w:sz w:val="16"/>
          <w:szCs w:val="18"/>
        </w:rPr>
      </w:pPr>
      <w:r w:rsidRPr="00AE770A">
        <w:rPr>
          <w:b/>
          <w:sz w:val="16"/>
          <w:szCs w:val="18"/>
        </w:rPr>
        <w:t>Núverandi launagreiðandi: </w:t>
      </w:r>
    </w:p>
    <w:p w14:paraId="1F214076" w14:textId="77777777" w:rsidR="0069266A" w:rsidRPr="00125CCC" w:rsidRDefault="0069266A" w:rsidP="0069266A">
      <w:pPr>
        <w:tabs>
          <w:tab w:val="left" w:pos="2184"/>
        </w:tabs>
        <w:outlineLvl w:val="0"/>
        <w:rPr>
          <w:b/>
          <w:sz w:val="4"/>
          <w:szCs w:val="4"/>
        </w:rPr>
      </w:pPr>
    </w:p>
    <w:tbl>
      <w:tblPr>
        <w:tblW w:w="5000" w:type="pct"/>
        <w:tblLook w:val="01E0" w:firstRow="1" w:lastRow="1" w:firstColumn="1" w:lastColumn="1" w:noHBand="0" w:noVBand="0"/>
      </w:tblPr>
      <w:tblGrid>
        <w:gridCol w:w="2456"/>
        <w:gridCol w:w="2456"/>
        <w:gridCol w:w="904"/>
        <w:gridCol w:w="4048"/>
      </w:tblGrid>
      <w:tr w:rsidR="0069266A" w:rsidRPr="00F95949" w14:paraId="1F21407A" w14:textId="77777777" w:rsidTr="00E12F74">
        <w:trPr>
          <w:trHeight w:val="159"/>
        </w:trPr>
        <w:tc>
          <w:tcPr>
            <w:tcW w:w="2490" w:type="pct"/>
            <w:gridSpan w:val="2"/>
            <w:tcBorders>
              <w:bottom w:val="single" w:sz="2" w:space="0" w:color="auto"/>
            </w:tcBorders>
          </w:tcPr>
          <w:p w14:paraId="1F214077" w14:textId="77777777" w:rsidR="0069266A" w:rsidRPr="00F95949" w:rsidRDefault="0069266A" w:rsidP="00E12F74">
            <w:pPr>
              <w:tabs>
                <w:tab w:val="left" w:pos="4830"/>
              </w:tabs>
              <w:rPr>
                <w:rFonts w:cs="Arial"/>
                <w:sz w:val="18"/>
              </w:rPr>
            </w:pPr>
            <w:r w:rsidRPr="00F95949">
              <w:rPr>
                <w:sz w:val="18"/>
              </w:rPr>
              <w:fldChar w:fldCharType="begin">
                <w:ffData>
                  <w:name w:val="LaunagreidandiNafn"/>
                  <w:enabled/>
                  <w:calcOnExit w:val="0"/>
                  <w:textInput>
                    <w:maxLength w:val="55"/>
                  </w:textInput>
                </w:ffData>
              </w:fldChar>
            </w:r>
            <w:bookmarkStart w:id="22" w:name="LaunagreidandiNafn"/>
            <w:r w:rsidRPr="00F95949">
              <w:rPr>
                <w:sz w:val="18"/>
              </w:rPr>
              <w:instrText xml:space="preserve"> FORMTEXT </w:instrText>
            </w:r>
            <w:r w:rsidRPr="00F95949">
              <w:rPr>
                <w:sz w:val="18"/>
              </w:rPr>
            </w:r>
            <w:r w:rsidRPr="00F95949">
              <w:rPr>
                <w:sz w:val="18"/>
              </w:rPr>
              <w:fldChar w:fldCharType="separate"/>
            </w:r>
            <w:r w:rsidRPr="00F95949">
              <w:rPr>
                <w:noProof/>
                <w:sz w:val="18"/>
              </w:rPr>
              <w:t> </w:t>
            </w:r>
            <w:r w:rsidRPr="00F95949">
              <w:rPr>
                <w:noProof/>
                <w:sz w:val="18"/>
              </w:rPr>
              <w:t> </w:t>
            </w:r>
            <w:r w:rsidRPr="00F95949">
              <w:rPr>
                <w:noProof/>
                <w:sz w:val="18"/>
              </w:rPr>
              <w:t> </w:t>
            </w:r>
            <w:r w:rsidRPr="00F95949">
              <w:rPr>
                <w:noProof/>
                <w:sz w:val="18"/>
              </w:rPr>
              <w:t> </w:t>
            </w:r>
            <w:r w:rsidRPr="00F95949">
              <w:rPr>
                <w:noProof/>
                <w:sz w:val="18"/>
              </w:rPr>
              <w:t> </w:t>
            </w:r>
            <w:r w:rsidRPr="00F95949">
              <w:rPr>
                <w:sz w:val="18"/>
              </w:rPr>
              <w:fldChar w:fldCharType="end"/>
            </w:r>
            <w:bookmarkEnd w:id="22"/>
          </w:p>
        </w:tc>
        <w:tc>
          <w:tcPr>
            <w:tcW w:w="458" w:type="pct"/>
          </w:tcPr>
          <w:p w14:paraId="1F214078" w14:textId="77777777" w:rsidR="0069266A" w:rsidRPr="00F95949" w:rsidRDefault="0069266A" w:rsidP="00E12F74">
            <w:pPr>
              <w:rPr>
                <w:rFonts w:cs="Arial"/>
                <w:sz w:val="18"/>
              </w:rPr>
            </w:pPr>
          </w:p>
        </w:tc>
        <w:bookmarkStart w:id="23" w:name="LaunagreidandiHeimil"/>
        <w:tc>
          <w:tcPr>
            <w:tcW w:w="2052" w:type="pct"/>
            <w:tcBorders>
              <w:bottom w:val="single" w:sz="2" w:space="0" w:color="auto"/>
            </w:tcBorders>
          </w:tcPr>
          <w:p w14:paraId="1F214079" w14:textId="77777777" w:rsidR="0069266A" w:rsidRPr="00F95949" w:rsidRDefault="0069266A" w:rsidP="00E12F74">
            <w:pPr>
              <w:rPr>
                <w:rFonts w:cs="Arial"/>
                <w:sz w:val="18"/>
              </w:rPr>
            </w:pPr>
            <w:r w:rsidRPr="00F95949">
              <w:rPr>
                <w:sz w:val="18"/>
              </w:rPr>
              <w:fldChar w:fldCharType="begin">
                <w:ffData>
                  <w:name w:val="LaunagreidandiHeimil"/>
                  <w:enabled/>
                  <w:calcOnExit w:val="0"/>
                  <w:textInput>
                    <w:maxLength w:val="55"/>
                  </w:textInput>
                </w:ffData>
              </w:fldChar>
            </w:r>
            <w:r w:rsidRPr="00F95949">
              <w:rPr>
                <w:sz w:val="18"/>
              </w:rPr>
              <w:instrText xml:space="preserve"> FORMTEXT </w:instrText>
            </w:r>
            <w:r w:rsidRPr="00F95949">
              <w:rPr>
                <w:sz w:val="18"/>
              </w:rPr>
            </w:r>
            <w:r w:rsidRPr="00F95949">
              <w:rPr>
                <w:sz w:val="18"/>
              </w:rPr>
              <w:fldChar w:fldCharType="separate"/>
            </w:r>
            <w:r w:rsidRPr="00F95949">
              <w:rPr>
                <w:sz w:val="18"/>
              </w:rPr>
              <w:t> </w:t>
            </w:r>
            <w:r w:rsidRPr="00F95949">
              <w:rPr>
                <w:sz w:val="18"/>
              </w:rPr>
              <w:t> </w:t>
            </w:r>
            <w:r w:rsidRPr="00F95949">
              <w:rPr>
                <w:sz w:val="18"/>
              </w:rPr>
              <w:t> </w:t>
            </w:r>
            <w:r w:rsidRPr="00F95949">
              <w:rPr>
                <w:sz w:val="18"/>
              </w:rPr>
              <w:t> </w:t>
            </w:r>
            <w:r w:rsidRPr="00F95949">
              <w:rPr>
                <w:sz w:val="18"/>
              </w:rPr>
              <w:t> </w:t>
            </w:r>
            <w:r w:rsidRPr="00F95949">
              <w:rPr>
                <w:sz w:val="18"/>
              </w:rPr>
              <w:fldChar w:fldCharType="end"/>
            </w:r>
            <w:bookmarkEnd w:id="23"/>
          </w:p>
        </w:tc>
      </w:tr>
      <w:tr w:rsidR="0069266A" w:rsidRPr="00125CCC" w14:paraId="1F21407E" w14:textId="77777777" w:rsidTr="00E12F74">
        <w:tc>
          <w:tcPr>
            <w:tcW w:w="2490" w:type="pct"/>
            <w:gridSpan w:val="2"/>
            <w:tcBorders>
              <w:top w:val="single" w:sz="2" w:space="0" w:color="auto"/>
            </w:tcBorders>
          </w:tcPr>
          <w:p w14:paraId="1F21407B" w14:textId="77777777" w:rsidR="0069266A" w:rsidRPr="00125CCC" w:rsidRDefault="0069266A" w:rsidP="00E12F74">
            <w:pPr>
              <w:rPr>
                <w:rFonts w:cs="Arial"/>
                <w:sz w:val="12"/>
                <w:szCs w:val="12"/>
              </w:rPr>
            </w:pPr>
            <w:r w:rsidRPr="00125CCC">
              <w:rPr>
                <w:rFonts w:cs="Arial"/>
                <w:sz w:val="12"/>
                <w:szCs w:val="12"/>
              </w:rPr>
              <w:t xml:space="preserve">Nafn </w:t>
            </w:r>
          </w:p>
        </w:tc>
        <w:tc>
          <w:tcPr>
            <w:tcW w:w="458" w:type="pct"/>
          </w:tcPr>
          <w:p w14:paraId="1F21407C" w14:textId="77777777" w:rsidR="0069266A" w:rsidRPr="00125CCC" w:rsidRDefault="0069266A" w:rsidP="00E12F74">
            <w:pPr>
              <w:rPr>
                <w:rFonts w:cs="Arial"/>
                <w:sz w:val="12"/>
                <w:szCs w:val="12"/>
              </w:rPr>
            </w:pPr>
          </w:p>
        </w:tc>
        <w:tc>
          <w:tcPr>
            <w:tcW w:w="2052" w:type="pct"/>
            <w:tcBorders>
              <w:top w:val="single" w:sz="2" w:space="0" w:color="auto"/>
            </w:tcBorders>
          </w:tcPr>
          <w:p w14:paraId="1F21407D" w14:textId="77777777" w:rsidR="0069266A" w:rsidRPr="00125CCC" w:rsidRDefault="0069266A" w:rsidP="00E12F74">
            <w:pPr>
              <w:rPr>
                <w:rFonts w:cs="Arial"/>
                <w:sz w:val="12"/>
                <w:szCs w:val="12"/>
              </w:rPr>
            </w:pPr>
            <w:r w:rsidRPr="00125CCC">
              <w:rPr>
                <w:rFonts w:cs="Arial"/>
                <w:sz w:val="12"/>
                <w:szCs w:val="12"/>
              </w:rPr>
              <w:t>Heimilisfang</w:t>
            </w:r>
          </w:p>
        </w:tc>
      </w:tr>
      <w:bookmarkStart w:id="24" w:name="LaunagreidandiKennit"/>
      <w:tr w:rsidR="0069266A" w:rsidRPr="00F95949" w14:paraId="1F214082" w14:textId="77777777" w:rsidTr="00E12F74">
        <w:trPr>
          <w:trHeight w:val="170"/>
        </w:trPr>
        <w:tc>
          <w:tcPr>
            <w:tcW w:w="2490" w:type="pct"/>
            <w:gridSpan w:val="2"/>
            <w:tcBorders>
              <w:bottom w:val="single" w:sz="2" w:space="0" w:color="auto"/>
            </w:tcBorders>
          </w:tcPr>
          <w:p w14:paraId="1F21407F" w14:textId="77777777" w:rsidR="0069266A" w:rsidRPr="00F95949" w:rsidRDefault="0069266A" w:rsidP="00E12F74">
            <w:pPr>
              <w:rPr>
                <w:rFonts w:cs="Arial"/>
                <w:sz w:val="18"/>
              </w:rPr>
            </w:pPr>
            <w:r w:rsidRPr="00F95949">
              <w:rPr>
                <w:sz w:val="18"/>
              </w:rPr>
              <w:fldChar w:fldCharType="begin">
                <w:ffData>
                  <w:name w:val="LaunagreidandiKennit"/>
                  <w:enabled/>
                  <w:calcOnExit w:val="0"/>
                  <w:textInput>
                    <w:maxLength w:val="11"/>
                  </w:textInput>
                </w:ffData>
              </w:fldChar>
            </w:r>
            <w:r w:rsidRPr="00F95949">
              <w:rPr>
                <w:sz w:val="18"/>
              </w:rPr>
              <w:instrText xml:space="preserve"> FORMTEXT </w:instrText>
            </w:r>
            <w:r w:rsidRPr="00F95949">
              <w:rPr>
                <w:sz w:val="18"/>
              </w:rPr>
            </w:r>
            <w:r w:rsidRPr="00F95949">
              <w:rPr>
                <w:sz w:val="18"/>
              </w:rPr>
              <w:fldChar w:fldCharType="separate"/>
            </w:r>
            <w:r w:rsidRPr="00F95949">
              <w:rPr>
                <w:sz w:val="18"/>
              </w:rPr>
              <w:t> </w:t>
            </w:r>
            <w:r w:rsidRPr="00F95949">
              <w:rPr>
                <w:sz w:val="18"/>
              </w:rPr>
              <w:t> </w:t>
            </w:r>
            <w:r w:rsidRPr="00F95949">
              <w:rPr>
                <w:sz w:val="18"/>
              </w:rPr>
              <w:t> </w:t>
            </w:r>
            <w:r w:rsidRPr="00F95949">
              <w:rPr>
                <w:sz w:val="18"/>
              </w:rPr>
              <w:t> </w:t>
            </w:r>
            <w:r w:rsidRPr="00F95949">
              <w:rPr>
                <w:sz w:val="18"/>
              </w:rPr>
              <w:t> </w:t>
            </w:r>
            <w:r w:rsidRPr="00F95949">
              <w:rPr>
                <w:sz w:val="18"/>
              </w:rPr>
              <w:fldChar w:fldCharType="end"/>
            </w:r>
            <w:bookmarkEnd w:id="24"/>
          </w:p>
        </w:tc>
        <w:tc>
          <w:tcPr>
            <w:tcW w:w="458" w:type="pct"/>
          </w:tcPr>
          <w:p w14:paraId="1F214080" w14:textId="77777777" w:rsidR="0069266A" w:rsidRPr="00F95949" w:rsidRDefault="0069266A" w:rsidP="00E12F74">
            <w:pPr>
              <w:rPr>
                <w:rFonts w:cs="Arial"/>
                <w:sz w:val="18"/>
              </w:rPr>
            </w:pPr>
          </w:p>
        </w:tc>
        <w:bookmarkStart w:id="25" w:name="LaunagreidandiPnStad"/>
        <w:tc>
          <w:tcPr>
            <w:tcW w:w="2052" w:type="pct"/>
            <w:tcBorders>
              <w:bottom w:val="single" w:sz="2" w:space="0" w:color="auto"/>
            </w:tcBorders>
          </w:tcPr>
          <w:p w14:paraId="1F214081" w14:textId="77777777" w:rsidR="0069266A" w:rsidRPr="00F95949" w:rsidRDefault="0069266A" w:rsidP="00E12F74">
            <w:pPr>
              <w:rPr>
                <w:rFonts w:cs="Arial"/>
                <w:sz w:val="18"/>
              </w:rPr>
            </w:pPr>
            <w:r w:rsidRPr="00F95949">
              <w:rPr>
                <w:sz w:val="18"/>
              </w:rPr>
              <w:fldChar w:fldCharType="begin">
                <w:ffData>
                  <w:name w:val="LaunagreidandiPnStad"/>
                  <w:enabled/>
                  <w:calcOnExit w:val="0"/>
                  <w:textInput>
                    <w:maxLength w:val="55"/>
                  </w:textInput>
                </w:ffData>
              </w:fldChar>
            </w:r>
            <w:r w:rsidRPr="00F95949">
              <w:rPr>
                <w:sz w:val="18"/>
              </w:rPr>
              <w:instrText xml:space="preserve"> FORMTEXT </w:instrText>
            </w:r>
            <w:r w:rsidRPr="00F95949">
              <w:rPr>
                <w:sz w:val="18"/>
              </w:rPr>
            </w:r>
            <w:r w:rsidRPr="00F95949">
              <w:rPr>
                <w:sz w:val="18"/>
              </w:rPr>
              <w:fldChar w:fldCharType="separate"/>
            </w:r>
            <w:r w:rsidRPr="00F95949">
              <w:rPr>
                <w:sz w:val="18"/>
              </w:rPr>
              <w:t> </w:t>
            </w:r>
            <w:r w:rsidRPr="00F95949">
              <w:rPr>
                <w:sz w:val="18"/>
              </w:rPr>
              <w:t> </w:t>
            </w:r>
            <w:r w:rsidRPr="00F95949">
              <w:rPr>
                <w:sz w:val="18"/>
              </w:rPr>
              <w:t> </w:t>
            </w:r>
            <w:r w:rsidRPr="00F95949">
              <w:rPr>
                <w:sz w:val="18"/>
              </w:rPr>
              <w:t> </w:t>
            </w:r>
            <w:r w:rsidRPr="00F95949">
              <w:rPr>
                <w:sz w:val="18"/>
              </w:rPr>
              <w:t> </w:t>
            </w:r>
            <w:r w:rsidRPr="00F95949">
              <w:rPr>
                <w:sz w:val="18"/>
              </w:rPr>
              <w:fldChar w:fldCharType="end"/>
            </w:r>
            <w:bookmarkEnd w:id="25"/>
          </w:p>
        </w:tc>
      </w:tr>
      <w:tr w:rsidR="0069266A" w:rsidRPr="00125CCC" w14:paraId="1F214086" w14:textId="77777777" w:rsidTr="00E12F74">
        <w:tc>
          <w:tcPr>
            <w:tcW w:w="2490" w:type="pct"/>
            <w:gridSpan w:val="2"/>
            <w:tcBorders>
              <w:top w:val="single" w:sz="2" w:space="0" w:color="auto"/>
            </w:tcBorders>
          </w:tcPr>
          <w:p w14:paraId="1F214083" w14:textId="77777777" w:rsidR="0069266A" w:rsidRPr="00125CCC" w:rsidRDefault="0069266A" w:rsidP="00E12F74">
            <w:pPr>
              <w:rPr>
                <w:rFonts w:cs="Arial"/>
                <w:sz w:val="12"/>
                <w:szCs w:val="12"/>
              </w:rPr>
            </w:pPr>
            <w:r w:rsidRPr="00125CCC">
              <w:rPr>
                <w:rFonts w:cs="Arial"/>
                <w:sz w:val="12"/>
                <w:szCs w:val="12"/>
              </w:rPr>
              <w:t>Kennitala</w:t>
            </w:r>
          </w:p>
        </w:tc>
        <w:tc>
          <w:tcPr>
            <w:tcW w:w="458" w:type="pct"/>
          </w:tcPr>
          <w:p w14:paraId="1F214084" w14:textId="77777777" w:rsidR="0069266A" w:rsidRPr="00125CCC" w:rsidRDefault="0069266A" w:rsidP="00E12F74">
            <w:pPr>
              <w:rPr>
                <w:rFonts w:cs="Arial"/>
                <w:sz w:val="12"/>
                <w:szCs w:val="12"/>
              </w:rPr>
            </w:pPr>
          </w:p>
        </w:tc>
        <w:tc>
          <w:tcPr>
            <w:tcW w:w="2052" w:type="pct"/>
            <w:tcBorders>
              <w:top w:val="single" w:sz="2" w:space="0" w:color="auto"/>
            </w:tcBorders>
          </w:tcPr>
          <w:p w14:paraId="1F214085" w14:textId="77777777" w:rsidR="0069266A" w:rsidRPr="00125CCC" w:rsidRDefault="0069266A" w:rsidP="00E12F74">
            <w:pPr>
              <w:rPr>
                <w:rFonts w:cs="Arial"/>
                <w:sz w:val="12"/>
                <w:szCs w:val="12"/>
              </w:rPr>
            </w:pPr>
            <w:r w:rsidRPr="00125CCC">
              <w:rPr>
                <w:rFonts w:cs="Arial"/>
                <w:sz w:val="12"/>
                <w:szCs w:val="12"/>
              </w:rPr>
              <w:t>Pnr. og staður</w:t>
            </w:r>
          </w:p>
        </w:tc>
      </w:tr>
      <w:bookmarkStart w:id="26" w:name="LaunagreidandiSimanu"/>
      <w:tr w:rsidR="0069266A" w:rsidRPr="00F95949" w14:paraId="1F21408B" w14:textId="77777777" w:rsidTr="00E12F74">
        <w:trPr>
          <w:trHeight w:val="170"/>
        </w:trPr>
        <w:tc>
          <w:tcPr>
            <w:tcW w:w="1245" w:type="pct"/>
            <w:tcBorders>
              <w:bottom w:val="single" w:sz="2" w:space="0" w:color="auto"/>
            </w:tcBorders>
            <w:vAlign w:val="center"/>
          </w:tcPr>
          <w:p w14:paraId="1F214087" w14:textId="77777777" w:rsidR="0069266A" w:rsidRPr="00F95949" w:rsidRDefault="0069266A" w:rsidP="00E12F74">
            <w:pPr>
              <w:rPr>
                <w:rFonts w:cs="Arial"/>
                <w:sz w:val="18"/>
              </w:rPr>
            </w:pPr>
            <w:r w:rsidRPr="00F95949">
              <w:rPr>
                <w:sz w:val="18"/>
              </w:rPr>
              <w:fldChar w:fldCharType="begin">
                <w:ffData>
                  <w:name w:val="LaunagreidandiSimanu"/>
                  <w:enabled/>
                  <w:calcOnExit w:val="0"/>
                  <w:textInput>
                    <w:maxLength w:val="40"/>
                  </w:textInput>
                </w:ffData>
              </w:fldChar>
            </w:r>
            <w:r w:rsidRPr="00F95949">
              <w:rPr>
                <w:sz w:val="18"/>
              </w:rPr>
              <w:instrText xml:space="preserve"> FORMTEXT </w:instrText>
            </w:r>
            <w:r w:rsidRPr="00F95949">
              <w:rPr>
                <w:sz w:val="18"/>
              </w:rPr>
            </w:r>
            <w:r w:rsidRPr="00F95949">
              <w:rPr>
                <w:sz w:val="18"/>
              </w:rPr>
              <w:fldChar w:fldCharType="separate"/>
            </w:r>
            <w:r w:rsidRPr="00F95949">
              <w:rPr>
                <w:sz w:val="18"/>
              </w:rPr>
              <w:t> </w:t>
            </w:r>
            <w:r w:rsidRPr="00F95949">
              <w:rPr>
                <w:sz w:val="18"/>
              </w:rPr>
              <w:t> </w:t>
            </w:r>
            <w:r w:rsidRPr="00F95949">
              <w:rPr>
                <w:sz w:val="18"/>
              </w:rPr>
              <w:t> </w:t>
            </w:r>
            <w:r w:rsidRPr="00F95949">
              <w:rPr>
                <w:sz w:val="18"/>
              </w:rPr>
              <w:t> </w:t>
            </w:r>
            <w:r w:rsidRPr="00F95949">
              <w:rPr>
                <w:sz w:val="18"/>
              </w:rPr>
              <w:t> </w:t>
            </w:r>
            <w:r w:rsidRPr="00F95949">
              <w:rPr>
                <w:sz w:val="18"/>
              </w:rPr>
              <w:fldChar w:fldCharType="end"/>
            </w:r>
            <w:bookmarkEnd w:id="26"/>
          </w:p>
        </w:tc>
        <w:bookmarkStart w:id="27" w:name="LaunagreidandiFax"/>
        <w:tc>
          <w:tcPr>
            <w:tcW w:w="1245" w:type="pct"/>
            <w:tcBorders>
              <w:bottom w:val="single" w:sz="2" w:space="0" w:color="auto"/>
            </w:tcBorders>
            <w:vAlign w:val="center"/>
          </w:tcPr>
          <w:p w14:paraId="1F214088" w14:textId="77777777" w:rsidR="0069266A" w:rsidRPr="00F95949" w:rsidRDefault="0069266A" w:rsidP="00E12F74">
            <w:pPr>
              <w:rPr>
                <w:rFonts w:cs="Arial"/>
                <w:sz w:val="18"/>
              </w:rPr>
            </w:pPr>
            <w:r w:rsidRPr="00F95949">
              <w:rPr>
                <w:sz w:val="18"/>
              </w:rPr>
              <w:fldChar w:fldCharType="begin">
                <w:ffData>
                  <w:name w:val="LaunagreidandiFax"/>
                  <w:enabled/>
                  <w:calcOnExit w:val="0"/>
                  <w:textInput>
                    <w:maxLength w:val="40"/>
                  </w:textInput>
                </w:ffData>
              </w:fldChar>
            </w:r>
            <w:r w:rsidRPr="00F95949">
              <w:rPr>
                <w:sz w:val="18"/>
              </w:rPr>
              <w:instrText xml:space="preserve"> FORMTEXT </w:instrText>
            </w:r>
            <w:r w:rsidRPr="00F95949">
              <w:rPr>
                <w:sz w:val="18"/>
              </w:rPr>
            </w:r>
            <w:r w:rsidRPr="00F95949">
              <w:rPr>
                <w:sz w:val="18"/>
              </w:rPr>
              <w:fldChar w:fldCharType="separate"/>
            </w:r>
            <w:r w:rsidRPr="00F95949">
              <w:rPr>
                <w:sz w:val="18"/>
              </w:rPr>
              <w:t> </w:t>
            </w:r>
            <w:r w:rsidRPr="00F95949">
              <w:rPr>
                <w:sz w:val="18"/>
              </w:rPr>
              <w:t> </w:t>
            </w:r>
            <w:r w:rsidRPr="00F95949">
              <w:rPr>
                <w:sz w:val="18"/>
              </w:rPr>
              <w:t> </w:t>
            </w:r>
            <w:r w:rsidRPr="00F95949">
              <w:rPr>
                <w:sz w:val="18"/>
              </w:rPr>
              <w:t> </w:t>
            </w:r>
            <w:r w:rsidRPr="00F95949">
              <w:rPr>
                <w:sz w:val="18"/>
              </w:rPr>
              <w:t> </w:t>
            </w:r>
            <w:r w:rsidRPr="00F95949">
              <w:rPr>
                <w:sz w:val="18"/>
              </w:rPr>
              <w:fldChar w:fldCharType="end"/>
            </w:r>
            <w:bookmarkEnd w:id="27"/>
          </w:p>
        </w:tc>
        <w:tc>
          <w:tcPr>
            <w:tcW w:w="458" w:type="pct"/>
            <w:vAlign w:val="center"/>
          </w:tcPr>
          <w:p w14:paraId="1F214089" w14:textId="77777777" w:rsidR="0069266A" w:rsidRPr="00F95949" w:rsidRDefault="0069266A" w:rsidP="00E12F74">
            <w:pPr>
              <w:rPr>
                <w:rFonts w:cs="Arial"/>
                <w:sz w:val="18"/>
              </w:rPr>
            </w:pPr>
          </w:p>
        </w:tc>
        <w:bookmarkStart w:id="28" w:name="LaunagreidandiNetfan"/>
        <w:tc>
          <w:tcPr>
            <w:tcW w:w="2052" w:type="pct"/>
            <w:tcBorders>
              <w:bottom w:val="single" w:sz="2" w:space="0" w:color="auto"/>
            </w:tcBorders>
            <w:vAlign w:val="center"/>
          </w:tcPr>
          <w:p w14:paraId="1F21408A" w14:textId="77777777" w:rsidR="0069266A" w:rsidRPr="00F95949" w:rsidRDefault="0069266A" w:rsidP="00E12F74">
            <w:pPr>
              <w:rPr>
                <w:rFonts w:cs="Arial"/>
                <w:sz w:val="18"/>
              </w:rPr>
            </w:pPr>
            <w:r w:rsidRPr="00F95949">
              <w:rPr>
                <w:sz w:val="18"/>
              </w:rPr>
              <w:fldChar w:fldCharType="begin">
                <w:ffData>
                  <w:name w:val="LaunagreidandiNetfan"/>
                  <w:enabled/>
                  <w:calcOnExit w:val="0"/>
                  <w:textInput>
                    <w:maxLength w:val="55"/>
                  </w:textInput>
                </w:ffData>
              </w:fldChar>
            </w:r>
            <w:r w:rsidRPr="00F95949">
              <w:rPr>
                <w:sz w:val="18"/>
              </w:rPr>
              <w:instrText xml:space="preserve"> FORMTEXT </w:instrText>
            </w:r>
            <w:r w:rsidRPr="00F95949">
              <w:rPr>
                <w:sz w:val="18"/>
              </w:rPr>
            </w:r>
            <w:r w:rsidRPr="00F95949">
              <w:rPr>
                <w:sz w:val="18"/>
              </w:rPr>
              <w:fldChar w:fldCharType="separate"/>
            </w:r>
            <w:r w:rsidRPr="00F95949">
              <w:rPr>
                <w:sz w:val="18"/>
              </w:rPr>
              <w:t> </w:t>
            </w:r>
            <w:r w:rsidRPr="00F95949">
              <w:rPr>
                <w:sz w:val="18"/>
              </w:rPr>
              <w:t> </w:t>
            </w:r>
            <w:r w:rsidRPr="00F95949">
              <w:rPr>
                <w:sz w:val="18"/>
              </w:rPr>
              <w:t> </w:t>
            </w:r>
            <w:r w:rsidRPr="00F95949">
              <w:rPr>
                <w:sz w:val="18"/>
              </w:rPr>
              <w:t> </w:t>
            </w:r>
            <w:r w:rsidRPr="00F95949">
              <w:rPr>
                <w:sz w:val="18"/>
              </w:rPr>
              <w:t> </w:t>
            </w:r>
            <w:r w:rsidRPr="00F95949">
              <w:rPr>
                <w:sz w:val="18"/>
              </w:rPr>
              <w:fldChar w:fldCharType="end"/>
            </w:r>
            <w:bookmarkEnd w:id="28"/>
          </w:p>
        </w:tc>
      </w:tr>
      <w:tr w:rsidR="0069266A" w:rsidRPr="00125CCC" w14:paraId="1F214090" w14:textId="77777777" w:rsidTr="00E12F74">
        <w:tc>
          <w:tcPr>
            <w:tcW w:w="1245" w:type="pct"/>
            <w:tcBorders>
              <w:top w:val="single" w:sz="2" w:space="0" w:color="auto"/>
            </w:tcBorders>
          </w:tcPr>
          <w:p w14:paraId="1F21408C" w14:textId="77777777" w:rsidR="0069266A" w:rsidRPr="00125CCC" w:rsidRDefault="0069266A" w:rsidP="00E12F74">
            <w:pPr>
              <w:rPr>
                <w:rFonts w:cs="Arial"/>
                <w:sz w:val="12"/>
                <w:szCs w:val="12"/>
              </w:rPr>
            </w:pPr>
            <w:r w:rsidRPr="00125CCC">
              <w:rPr>
                <w:rFonts w:cs="Arial"/>
                <w:sz w:val="12"/>
                <w:szCs w:val="12"/>
              </w:rPr>
              <w:t>Símanúmer</w:t>
            </w:r>
          </w:p>
        </w:tc>
        <w:tc>
          <w:tcPr>
            <w:tcW w:w="1245" w:type="pct"/>
            <w:tcBorders>
              <w:top w:val="single" w:sz="2" w:space="0" w:color="auto"/>
            </w:tcBorders>
          </w:tcPr>
          <w:p w14:paraId="1F21408D" w14:textId="77777777" w:rsidR="0069266A" w:rsidRPr="00125CCC" w:rsidRDefault="0069266A" w:rsidP="00E12F74">
            <w:pPr>
              <w:rPr>
                <w:rFonts w:cs="Arial"/>
                <w:sz w:val="12"/>
                <w:szCs w:val="12"/>
              </w:rPr>
            </w:pPr>
            <w:r w:rsidRPr="00125CCC">
              <w:rPr>
                <w:rFonts w:cs="Arial"/>
                <w:sz w:val="12"/>
                <w:szCs w:val="12"/>
              </w:rPr>
              <w:t xml:space="preserve">Fax </w:t>
            </w:r>
          </w:p>
        </w:tc>
        <w:tc>
          <w:tcPr>
            <w:tcW w:w="458" w:type="pct"/>
          </w:tcPr>
          <w:p w14:paraId="1F21408E" w14:textId="77777777" w:rsidR="0069266A" w:rsidRPr="00125CCC" w:rsidRDefault="0069266A" w:rsidP="00E12F74">
            <w:pPr>
              <w:rPr>
                <w:rFonts w:cs="Arial"/>
                <w:sz w:val="12"/>
                <w:szCs w:val="12"/>
              </w:rPr>
            </w:pPr>
          </w:p>
        </w:tc>
        <w:tc>
          <w:tcPr>
            <w:tcW w:w="2052" w:type="pct"/>
            <w:tcBorders>
              <w:top w:val="single" w:sz="2" w:space="0" w:color="auto"/>
            </w:tcBorders>
          </w:tcPr>
          <w:p w14:paraId="1F21408F" w14:textId="77777777" w:rsidR="0069266A" w:rsidRPr="00125CCC" w:rsidRDefault="0069266A" w:rsidP="00E12F74">
            <w:pPr>
              <w:rPr>
                <w:rFonts w:cs="Arial"/>
                <w:sz w:val="12"/>
                <w:szCs w:val="12"/>
              </w:rPr>
            </w:pPr>
            <w:r w:rsidRPr="00125CCC">
              <w:rPr>
                <w:rFonts w:cs="Arial"/>
                <w:sz w:val="12"/>
                <w:szCs w:val="12"/>
              </w:rPr>
              <w:t>Netfang</w:t>
            </w:r>
          </w:p>
        </w:tc>
      </w:tr>
    </w:tbl>
    <w:p w14:paraId="1F214091" w14:textId="77777777" w:rsidR="0069266A" w:rsidRPr="00125CCC" w:rsidRDefault="0069266A" w:rsidP="0069266A">
      <w:pPr>
        <w:autoSpaceDE w:val="0"/>
        <w:autoSpaceDN w:val="0"/>
        <w:adjustRightInd w:val="0"/>
        <w:rPr>
          <w:rFonts w:cs="Avenir-Roman"/>
          <w:sz w:val="4"/>
          <w:szCs w:val="4"/>
          <w:lang w:eastAsia="en-GB"/>
        </w:rPr>
      </w:pPr>
    </w:p>
    <w:p w14:paraId="1F214092" w14:textId="77777777" w:rsidR="0069266A" w:rsidRPr="00125CCC" w:rsidRDefault="0069266A" w:rsidP="0069266A">
      <w:pPr>
        <w:autoSpaceDE w:val="0"/>
        <w:autoSpaceDN w:val="0"/>
        <w:adjustRightInd w:val="0"/>
        <w:jc w:val="both"/>
        <w:rPr>
          <w:rFonts w:cs="Avenir-Roman"/>
          <w:sz w:val="12"/>
          <w:szCs w:val="12"/>
          <w:lang w:eastAsia="en-GB"/>
        </w:rPr>
      </w:pPr>
      <w:r w:rsidRPr="00125CCC">
        <w:rPr>
          <w:rFonts w:cs="Avenir-Roman"/>
          <w:sz w:val="12"/>
          <w:szCs w:val="12"/>
          <w:lang w:eastAsia="en-GB"/>
        </w:rPr>
        <w:t>Arion banki sendir ofangreindum launagreiðanda afrit af samningi um viðbótarlífeyrissparnað við undirskrift samnings. Berist Arion banka upplýsingar frá rétthafa um nýjan launa</w:t>
      </w:r>
      <w:r w:rsidRPr="00125CCC">
        <w:rPr>
          <w:rFonts w:cs="Avenir-Roman"/>
          <w:sz w:val="12"/>
          <w:szCs w:val="12"/>
          <w:lang w:eastAsia="en-GB"/>
        </w:rPr>
        <w:softHyphen/>
        <w:t>greiðanda, sendir Arion banki nýjum launagreiðanda afrit af samningi þessum. Launagreiðanda er skylt að halda eftir af launum iðgjaldi launþega og standa skil á því ásamt mótframlagi sínu, samkvæmt 7. gr. laga nr. 129/1997 með síðari breytingum. </w:t>
      </w:r>
    </w:p>
    <w:p w14:paraId="1F214093" w14:textId="77777777" w:rsidR="0069266A" w:rsidRPr="00125CCC" w:rsidRDefault="0069266A" w:rsidP="0069266A">
      <w:pPr>
        <w:autoSpaceDE w:val="0"/>
        <w:autoSpaceDN w:val="0"/>
        <w:adjustRightInd w:val="0"/>
        <w:jc w:val="both"/>
        <w:rPr>
          <w:rFonts w:cs="Avenir-Roman"/>
          <w:sz w:val="4"/>
          <w:szCs w:val="4"/>
          <w:lang w:eastAsia="en-GB"/>
        </w:rPr>
      </w:pPr>
    </w:p>
    <w:p w14:paraId="1F214094" w14:textId="77777777" w:rsidR="0069266A" w:rsidRPr="00A308B3" w:rsidRDefault="0069266A" w:rsidP="0069266A">
      <w:pPr>
        <w:autoSpaceDE w:val="0"/>
        <w:autoSpaceDN w:val="0"/>
        <w:adjustRightInd w:val="0"/>
        <w:jc w:val="both"/>
        <w:rPr>
          <w:sz w:val="12"/>
          <w:szCs w:val="12"/>
          <w:lang w:eastAsia="en-GB"/>
        </w:rPr>
      </w:pPr>
      <w:r w:rsidRPr="00125CCC">
        <w:rPr>
          <w:sz w:val="12"/>
          <w:szCs w:val="12"/>
          <w:lang w:eastAsia="en-GB"/>
        </w:rPr>
        <w:t xml:space="preserve">Ég, undirrituð/undirritaður, veiti hér með söluaðila þessa samnings umboð til að nálgast grunnupplýsingar um lífeyrissparnað minn hjá Arion </w:t>
      </w:r>
      <w:r>
        <w:rPr>
          <w:sz w:val="12"/>
          <w:szCs w:val="12"/>
          <w:lang w:eastAsia="en-GB"/>
        </w:rPr>
        <w:t>banka.</w:t>
      </w:r>
      <w:r w:rsidRPr="00125CCC">
        <w:rPr>
          <w:sz w:val="12"/>
          <w:szCs w:val="12"/>
          <w:lang w:eastAsia="en-GB"/>
        </w:rPr>
        <w:t xml:space="preserve"> Grunnupplýsingar ná til þess hvort greitt er og þá í hvaða sj</w:t>
      </w:r>
      <w:r>
        <w:rPr>
          <w:sz w:val="12"/>
          <w:szCs w:val="12"/>
          <w:lang w:eastAsia="en-GB"/>
        </w:rPr>
        <w:t>óð er greitt hjá Arion banka</w:t>
      </w:r>
      <w:r w:rsidRPr="00125CCC">
        <w:rPr>
          <w:sz w:val="12"/>
          <w:szCs w:val="12"/>
          <w:lang w:eastAsia="en-GB"/>
        </w:rPr>
        <w:t xml:space="preserve"> og hvort iðgjöld berist reglulega. Umboð þetta nær ekki til við</w:t>
      </w:r>
      <w:r w:rsidRPr="00125CCC">
        <w:rPr>
          <w:sz w:val="12"/>
          <w:szCs w:val="12"/>
          <w:lang w:eastAsia="en-GB"/>
        </w:rPr>
        <w:softHyphen/>
        <w:t xml:space="preserve">kvæmra persónuupplýsinga svo sem upphæð iðgjalda og inneignar. Umboð þetta gildir á meðan undirrituð/undirritaður er </w:t>
      </w:r>
      <w:r>
        <w:rPr>
          <w:sz w:val="12"/>
          <w:szCs w:val="12"/>
          <w:lang w:eastAsia="en-GB"/>
        </w:rPr>
        <w:t>í viðskiptum við Arion banka</w:t>
      </w:r>
      <w:r w:rsidRPr="00125CCC">
        <w:rPr>
          <w:sz w:val="12"/>
          <w:szCs w:val="12"/>
          <w:lang w:eastAsia="en-GB"/>
        </w:rPr>
        <w:t xml:space="preserve"> eða þar til það hefur verið afturkallað með sannanlegum hætti.</w:t>
      </w:r>
    </w:p>
    <w:p w14:paraId="1F214095" w14:textId="77777777" w:rsidR="0069266A" w:rsidRPr="005A744F" w:rsidRDefault="0069266A" w:rsidP="0069266A">
      <w:pPr>
        <w:autoSpaceDE w:val="0"/>
        <w:autoSpaceDN w:val="0"/>
        <w:adjustRightInd w:val="0"/>
        <w:jc w:val="both"/>
        <w:rPr>
          <w:sz w:val="10"/>
          <w:szCs w:val="4"/>
          <w:lang w:eastAsia="en-GB"/>
        </w:rPr>
      </w:pPr>
    </w:p>
    <w:tbl>
      <w:tblPr>
        <w:tblW w:w="5000" w:type="pct"/>
        <w:tblLayout w:type="fixed"/>
        <w:tblLook w:val="01E0" w:firstRow="1" w:lastRow="1" w:firstColumn="1" w:lastColumn="1" w:noHBand="0" w:noVBand="0"/>
      </w:tblPr>
      <w:tblGrid>
        <w:gridCol w:w="1069"/>
        <w:gridCol w:w="8795"/>
      </w:tblGrid>
      <w:tr w:rsidR="0069266A" w:rsidRPr="00125CCC" w14:paraId="1F21409A" w14:textId="77777777" w:rsidTr="00E12F74">
        <w:tc>
          <w:tcPr>
            <w:tcW w:w="542" w:type="pct"/>
          </w:tcPr>
          <w:p w14:paraId="1F214096" w14:textId="77777777" w:rsidR="0069266A" w:rsidRPr="00125CCC" w:rsidRDefault="0069266A" w:rsidP="00E12F74">
            <w:pPr>
              <w:autoSpaceDE w:val="0"/>
              <w:autoSpaceDN w:val="0"/>
              <w:adjustRightInd w:val="0"/>
              <w:rPr>
                <w:sz w:val="2"/>
                <w:szCs w:val="2"/>
              </w:rPr>
            </w:pPr>
          </w:p>
          <w:p w14:paraId="1F214097" w14:textId="77777777" w:rsidR="0069266A" w:rsidRPr="00B97589" w:rsidRDefault="0069266A" w:rsidP="00E12F74">
            <w:pPr>
              <w:autoSpaceDE w:val="0"/>
              <w:autoSpaceDN w:val="0"/>
              <w:adjustRightInd w:val="0"/>
              <w:rPr>
                <w:b/>
                <w:sz w:val="18"/>
                <w:szCs w:val="18"/>
              </w:rPr>
            </w:pPr>
            <w:r w:rsidRPr="00B97589">
              <w:rPr>
                <w:b/>
                <w:sz w:val="18"/>
                <w:szCs w:val="18"/>
              </w:rPr>
              <w:t>Samþykki</w:t>
            </w:r>
          </w:p>
        </w:tc>
        <w:tc>
          <w:tcPr>
            <w:tcW w:w="4458" w:type="pct"/>
            <w:tcBorders>
              <w:bottom w:val="single" w:sz="2" w:space="0" w:color="auto"/>
            </w:tcBorders>
          </w:tcPr>
          <w:p w14:paraId="1F214098" w14:textId="77777777" w:rsidR="0069266A" w:rsidRPr="00125CCC" w:rsidRDefault="0069266A" w:rsidP="00E12F74">
            <w:pPr>
              <w:autoSpaceDE w:val="0"/>
              <w:autoSpaceDN w:val="0"/>
              <w:adjustRightInd w:val="0"/>
              <w:rPr>
                <w:sz w:val="2"/>
                <w:szCs w:val="2"/>
              </w:rPr>
            </w:pPr>
          </w:p>
          <w:p w14:paraId="1F214099" w14:textId="77777777" w:rsidR="0069266A" w:rsidRPr="00125CCC" w:rsidRDefault="0069266A" w:rsidP="00E12F74">
            <w:pPr>
              <w:autoSpaceDE w:val="0"/>
              <w:autoSpaceDN w:val="0"/>
              <w:adjustRightInd w:val="0"/>
              <w:rPr>
                <w:sz w:val="14"/>
                <w:szCs w:val="14"/>
              </w:rPr>
            </w:pPr>
          </w:p>
        </w:tc>
      </w:tr>
    </w:tbl>
    <w:p w14:paraId="1F21409B" w14:textId="77777777" w:rsidR="0069266A" w:rsidRPr="00125CCC" w:rsidRDefault="0069266A" w:rsidP="0069266A">
      <w:pPr>
        <w:autoSpaceDE w:val="0"/>
        <w:autoSpaceDN w:val="0"/>
        <w:adjustRightInd w:val="0"/>
        <w:rPr>
          <w:rFonts w:cs="Avenir-Roman"/>
          <w:sz w:val="4"/>
          <w:szCs w:val="4"/>
          <w:lang w:eastAsia="en-GB"/>
        </w:rPr>
      </w:pPr>
    </w:p>
    <w:p w14:paraId="1F21409C" w14:textId="77777777" w:rsidR="0069266A" w:rsidRPr="005A744F" w:rsidRDefault="0069266A" w:rsidP="0069266A">
      <w:pPr>
        <w:autoSpaceDE w:val="0"/>
        <w:autoSpaceDN w:val="0"/>
        <w:adjustRightInd w:val="0"/>
        <w:rPr>
          <w:rFonts w:cs="Avenir-Roman"/>
          <w:sz w:val="16"/>
          <w:szCs w:val="4"/>
          <w:lang w:eastAsia="en-GB"/>
        </w:rPr>
      </w:pPr>
    </w:p>
    <w:p w14:paraId="1F21409D" w14:textId="77777777" w:rsidR="0069266A" w:rsidRDefault="0069266A" w:rsidP="0069266A">
      <w:pPr>
        <w:pStyle w:val="Footer"/>
        <w:jc w:val="both"/>
        <w:rPr>
          <w:rFonts w:cs="Avenir-Roman"/>
          <w:sz w:val="14"/>
          <w:szCs w:val="14"/>
          <w:lang w:eastAsia="en-GB"/>
        </w:rPr>
      </w:pPr>
      <w:r w:rsidRPr="00125CCC">
        <w:rPr>
          <w:rFonts w:cs="Avenir-Roman"/>
          <w:sz w:val="14"/>
          <w:szCs w:val="14"/>
          <w:lang w:eastAsia="en-GB"/>
        </w:rPr>
        <w:t>Aðilar staðfesta með undirskrift sinni efni samnings þessa og undirgangast með undirskrift sinni að þeir hlíti reglum sem um samning þennan gilda.</w:t>
      </w:r>
    </w:p>
    <w:p w14:paraId="60F3FF1D" w14:textId="77777777" w:rsidR="005A744F" w:rsidRPr="005A744F" w:rsidRDefault="005A744F" w:rsidP="0069266A">
      <w:pPr>
        <w:pStyle w:val="Footer"/>
        <w:jc w:val="both"/>
        <w:rPr>
          <w:rFonts w:cs="Avenir-Roman"/>
          <w:b/>
          <w:sz w:val="10"/>
          <w:szCs w:val="14"/>
          <w:lang w:eastAsia="en-GB"/>
        </w:rPr>
      </w:pPr>
    </w:p>
    <w:tbl>
      <w:tblPr>
        <w:tblW w:w="5000" w:type="pct"/>
        <w:tblLook w:val="0000" w:firstRow="0" w:lastRow="0" w:firstColumn="0" w:lastColumn="0" w:noHBand="0" w:noVBand="0"/>
      </w:tblPr>
      <w:tblGrid>
        <w:gridCol w:w="4577"/>
        <w:gridCol w:w="637"/>
        <w:gridCol w:w="2900"/>
        <w:gridCol w:w="1744"/>
        <w:gridCol w:w="6"/>
      </w:tblGrid>
      <w:tr w:rsidR="0069266A" w:rsidRPr="00ED7E88" w14:paraId="1F2140A1" w14:textId="77777777" w:rsidTr="00E12F74">
        <w:trPr>
          <w:gridAfter w:val="1"/>
          <w:wAfter w:w="3" w:type="pct"/>
        </w:trPr>
        <w:tc>
          <w:tcPr>
            <w:tcW w:w="2320" w:type="pct"/>
            <w:tcBorders>
              <w:bottom w:val="single" w:sz="2" w:space="0" w:color="auto"/>
            </w:tcBorders>
          </w:tcPr>
          <w:bookmarkStart w:id="29" w:name="StadurDags"/>
          <w:p w14:paraId="1F21409E" w14:textId="77777777" w:rsidR="0069266A" w:rsidRPr="00ED7E88" w:rsidRDefault="0069266A" w:rsidP="00E12F74">
            <w:pPr>
              <w:rPr>
                <w:rFonts w:cs="Arial"/>
                <w:sz w:val="20"/>
              </w:rPr>
            </w:pPr>
            <w:r w:rsidRPr="00ED7E88">
              <w:rPr>
                <w:sz w:val="20"/>
              </w:rPr>
              <w:fldChar w:fldCharType="begin">
                <w:ffData>
                  <w:name w:val="StadurDags"/>
                  <w:enabled/>
                  <w:calcOnExit w:val="0"/>
                  <w:textInput>
                    <w:maxLength w:val="55"/>
                  </w:textInput>
                </w:ffData>
              </w:fldChar>
            </w:r>
            <w:r w:rsidRPr="00ED7E88">
              <w:rPr>
                <w:sz w:val="20"/>
              </w:rPr>
              <w:instrText xml:space="preserve"> FORMTEXT </w:instrText>
            </w:r>
            <w:r w:rsidRPr="00ED7E88">
              <w:rPr>
                <w:sz w:val="20"/>
              </w:rPr>
            </w:r>
            <w:r w:rsidRPr="00ED7E88">
              <w:rPr>
                <w:sz w:val="20"/>
              </w:rPr>
              <w:fldChar w:fldCharType="separate"/>
            </w:r>
            <w:r w:rsidRPr="00ED7E88">
              <w:rPr>
                <w:sz w:val="20"/>
              </w:rPr>
              <w:t> </w:t>
            </w:r>
            <w:r w:rsidRPr="00ED7E88">
              <w:rPr>
                <w:sz w:val="20"/>
              </w:rPr>
              <w:t> </w:t>
            </w:r>
            <w:r w:rsidRPr="00ED7E88">
              <w:rPr>
                <w:sz w:val="20"/>
              </w:rPr>
              <w:t> </w:t>
            </w:r>
            <w:r w:rsidRPr="00ED7E88">
              <w:rPr>
                <w:sz w:val="20"/>
              </w:rPr>
              <w:t> </w:t>
            </w:r>
            <w:r w:rsidRPr="00ED7E88">
              <w:rPr>
                <w:sz w:val="20"/>
              </w:rPr>
              <w:t> </w:t>
            </w:r>
            <w:r w:rsidRPr="00ED7E88">
              <w:rPr>
                <w:sz w:val="20"/>
              </w:rPr>
              <w:fldChar w:fldCharType="end"/>
            </w:r>
            <w:bookmarkEnd w:id="29"/>
          </w:p>
        </w:tc>
        <w:tc>
          <w:tcPr>
            <w:tcW w:w="323" w:type="pct"/>
            <w:vMerge w:val="restart"/>
          </w:tcPr>
          <w:p w14:paraId="1F21409F" w14:textId="77777777" w:rsidR="0069266A" w:rsidRPr="00ED7E88" w:rsidRDefault="0069266A" w:rsidP="00E12F74">
            <w:pPr>
              <w:rPr>
                <w:rFonts w:cs="Arial"/>
                <w:sz w:val="20"/>
              </w:rPr>
            </w:pPr>
          </w:p>
        </w:tc>
        <w:tc>
          <w:tcPr>
            <w:tcW w:w="2354" w:type="pct"/>
            <w:gridSpan w:val="2"/>
            <w:tcBorders>
              <w:bottom w:val="single" w:sz="2" w:space="0" w:color="auto"/>
            </w:tcBorders>
          </w:tcPr>
          <w:p w14:paraId="1F2140A0" w14:textId="77777777" w:rsidR="0069266A" w:rsidRPr="00ED7E88" w:rsidRDefault="0069266A" w:rsidP="00E12F74">
            <w:pPr>
              <w:rPr>
                <w:rFonts w:cs="Arial"/>
                <w:sz w:val="20"/>
              </w:rPr>
            </w:pPr>
          </w:p>
        </w:tc>
      </w:tr>
      <w:tr w:rsidR="0069266A" w:rsidRPr="00125CCC" w14:paraId="1F2140A5" w14:textId="77777777" w:rsidTr="00E12F74">
        <w:trPr>
          <w:gridAfter w:val="1"/>
          <w:wAfter w:w="3" w:type="pct"/>
        </w:trPr>
        <w:tc>
          <w:tcPr>
            <w:tcW w:w="2320" w:type="pct"/>
            <w:tcBorders>
              <w:top w:val="single" w:sz="2" w:space="0" w:color="auto"/>
            </w:tcBorders>
          </w:tcPr>
          <w:p w14:paraId="1F2140A2" w14:textId="77777777" w:rsidR="0069266A" w:rsidRPr="00125CCC" w:rsidRDefault="0069266A" w:rsidP="00E12F74">
            <w:pPr>
              <w:rPr>
                <w:rFonts w:cs="Arial"/>
                <w:sz w:val="14"/>
                <w:szCs w:val="14"/>
              </w:rPr>
            </w:pPr>
            <w:r w:rsidRPr="00125CCC">
              <w:rPr>
                <w:rFonts w:cs="Arial"/>
                <w:sz w:val="14"/>
                <w:szCs w:val="14"/>
              </w:rPr>
              <w:t xml:space="preserve">Staður og dagsetning </w:t>
            </w:r>
          </w:p>
        </w:tc>
        <w:tc>
          <w:tcPr>
            <w:tcW w:w="323" w:type="pct"/>
            <w:vMerge/>
          </w:tcPr>
          <w:p w14:paraId="1F2140A3" w14:textId="77777777" w:rsidR="0069266A" w:rsidRPr="00125CCC" w:rsidRDefault="0069266A" w:rsidP="00E12F74">
            <w:pPr>
              <w:rPr>
                <w:rFonts w:cs="Arial"/>
                <w:sz w:val="14"/>
                <w:szCs w:val="14"/>
              </w:rPr>
            </w:pPr>
          </w:p>
        </w:tc>
        <w:tc>
          <w:tcPr>
            <w:tcW w:w="2354" w:type="pct"/>
            <w:gridSpan w:val="2"/>
            <w:tcBorders>
              <w:top w:val="single" w:sz="2" w:space="0" w:color="auto"/>
            </w:tcBorders>
          </w:tcPr>
          <w:p w14:paraId="1F2140A4" w14:textId="77777777" w:rsidR="0069266A" w:rsidRPr="00125CCC" w:rsidRDefault="0069266A" w:rsidP="00E12F74">
            <w:pPr>
              <w:rPr>
                <w:rFonts w:cs="Arial"/>
                <w:sz w:val="14"/>
                <w:szCs w:val="14"/>
              </w:rPr>
            </w:pPr>
            <w:r w:rsidRPr="00125CCC">
              <w:rPr>
                <w:rFonts w:cs="Arial"/>
                <w:sz w:val="14"/>
                <w:szCs w:val="14"/>
              </w:rPr>
              <w:t>Samþykki forráðamanns, ef rétthafi er undir 18 ára aldri</w:t>
            </w:r>
          </w:p>
        </w:tc>
      </w:tr>
      <w:tr w:rsidR="0069266A" w:rsidRPr="00ED7E88" w14:paraId="1F2140AA" w14:textId="77777777" w:rsidTr="00E12F74">
        <w:trPr>
          <w:trHeight w:val="283"/>
        </w:trPr>
        <w:tc>
          <w:tcPr>
            <w:tcW w:w="2320" w:type="pct"/>
            <w:tcBorders>
              <w:bottom w:val="single" w:sz="2" w:space="0" w:color="auto"/>
            </w:tcBorders>
          </w:tcPr>
          <w:p w14:paraId="1F2140A6" w14:textId="77777777" w:rsidR="0069266A" w:rsidRPr="00ED7E88" w:rsidRDefault="0069266A" w:rsidP="00E12F74">
            <w:pPr>
              <w:pStyle w:val="Header"/>
              <w:tabs>
                <w:tab w:val="left" w:pos="6120"/>
              </w:tabs>
              <w:rPr>
                <w:sz w:val="20"/>
              </w:rPr>
            </w:pPr>
          </w:p>
        </w:tc>
        <w:tc>
          <w:tcPr>
            <w:tcW w:w="323" w:type="pct"/>
            <w:vMerge w:val="restart"/>
          </w:tcPr>
          <w:p w14:paraId="1F2140A7" w14:textId="77777777" w:rsidR="0069266A" w:rsidRPr="00ED7E88" w:rsidRDefault="0069266A" w:rsidP="00E12F74">
            <w:pPr>
              <w:pStyle w:val="Header"/>
              <w:tabs>
                <w:tab w:val="left" w:pos="6120"/>
              </w:tabs>
              <w:rPr>
                <w:sz w:val="20"/>
              </w:rPr>
            </w:pPr>
          </w:p>
        </w:tc>
        <w:tc>
          <w:tcPr>
            <w:tcW w:w="1470" w:type="pct"/>
            <w:tcBorders>
              <w:bottom w:val="single" w:sz="2" w:space="0" w:color="auto"/>
            </w:tcBorders>
          </w:tcPr>
          <w:p w14:paraId="1F2140A8" w14:textId="77777777" w:rsidR="0069266A" w:rsidRPr="00ED7E88" w:rsidRDefault="0069266A" w:rsidP="00E12F74">
            <w:pPr>
              <w:rPr>
                <w:rFonts w:cs="Arial"/>
                <w:sz w:val="20"/>
              </w:rPr>
            </w:pPr>
          </w:p>
        </w:tc>
        <w:tc>
          <w:tcPr>
            <w:tcW w:w="887" w:type="pct"/>
            <w:gridSpan w:val="2"/>
            <w:tcBorders>
              <w:bottom w:val="single" w:sz="2" w:space="0" w:color="auto"/>
            </w:tcBorders>
          </w:tcPr>
          <w:p w14:paraId="1F2140A9" w14:textId="77777777" w:rsidR="0069266A" w:rsidRPr="00ED7E88" w:rsidRDefault="0069266A" w:rsidP="00E12F74">
            <w:pPr>
              <w:rPr>
                <w:rFonts w:cs="Arial"/>
                <w:sz w:val="20"/>
              </w:rPr>
            </w:pPr>
            <w:r w:rsidRPr="00ED7E88">
              <w:rPr>
                <w:sz w:val="20"/>
              </w:rPr>
              <w:fldChar w:fldCharType="begin">
                <w:ffData>
                  <w:name w:val="StadurDags"/>
                  <w:enabled/>
                  <w:calcOnExit w:val="0"/>
                  <w:textInput>
                    <w:maxLength w:val="55"/>
                  </w:textInput>
                </w:ffData>
              </w:fldChar>
            </w:r>
            <w:r w:rsidRPr="00ED7E88">
              <w:rPr>
                <w:sz w:val="20"/>
              </w:rPr>
              <w:instrText xml:space="preserve"> FORMTEXT </w:instrText>
            </w:r>
            <w:r w:rsidRPr="00ED7E88">
              <w:rPr>
                <w:sz w:val="20"/>
              </w:rPr>
            </w:r>
            <w:r w:rsidRPr="00ED7E88">
              <w:rPr>
                <w:sz w:val="20"/>
              </w:rPr>
              <w:fldChar w:fldCharType="separate"/>
            </w:r>
            <w:r w:rsidRPr="00ED7E88">
              <w:rPr>
                <w:sz w:val="20"/>
              </w:rPr>
              <w:t> </w:t>
            </w:r>
            <w:r w:rsidRPr="00ED7E88">
              <w:rPr>
                <w:sz w:val="20"/>
              </w:rPr>
              <w:t> </w:t>
            </w:r>
            <w:r w:rsidRPr="00ED7E88">
              <w:rPr>
                <w:sz w:val="20"/>
              </w:rPr>
              <w:t> </w:t>
            </w:r>
            <w:r w:rsidRPr="00ED7E88">
              <w:rPr>
                <w:sz w:val="20"/>
              </w:rPr>
              <w:t> </w:t>
            </w:r>
            <w:r w:rsidRPr="00ED7E88">
              <w:rPr>
                <w:sz w:val="20"/>
              </w:rPr>
              <w:t> </w:t>
            </w:r>
            <w:r w:rsidRPr="00ED7E88">
              <w:rPr>
                <w:sz w:val="20"/>
              </w:rPr>
              <w:fldChar w:fldCharType="end"/>
            </w:r>
          </w:p>
        </w:tc>
      </w:tr>
      <w:tr w:rsidR="0069266A" w:rsidRPr="00125CCC" w14:paraId="1F2140AF" w14:textId="77777777" w:rsidTr="00E12F74">
        <w:tc>
          <w:tcPr>
            <w:tcW w:w="2320" w:type="pct"/>
            <w:tcBorders>
              <w:top w:val="single" w:sz="2" w:space="0" w:color="auto"/>
            </w:tcBorders>
          </w:tcPr>
          <w:p w14:paraId="1F2140AB" w14:textId="77777777" w:rsidR="0069266A" w:rsidRPr="00125CCC" w:rsidRDefault="0069266A" w:rsidP="00E12F74">
            <w:pPr>
              <w:rPr>
                <w:rFonts w:cs="Arial"/>
                <w:sz w:val="14"/>
                <w:szCs w:val="14"/>
              </w:rPr>
            </w:pPr>
            <w:r w:rsidRPr="00125CCC">
              <w:rPr>
                <w:rFonts w:cs="Arial"/>
                <w:sz w:val="14"/>
                <w:szCs w:val="14"/>
              </w:rPr>
              <w:t>Undirskrift rétthafa</w:t>
            </w:r>
          </w:p>
        </w:tc>
        <w:tc>
          <w:tcPr>
            <w:tcW w:w="323" w:type="pct"/>
            <w:vMerge/>
          </w:tcPr>
          <w:p w14:paraId="1F2140AC" w14:textId="77777777" w:rsidR="0069266A" w:rsidRPr="00125CCC" w:rsidRDefault="0069266A" w:rsidP="00E12F74">
            <w:pPr>
              <w:rPr>
                <w:rFonts w:cs="Arial"/>
                <w:sz w:val="14"/>
                <w:szCs w:val="14"/>
              </w:rPr>
            </w:pPr>
          </w:p>
        </w:tc>
        <w:tc>
          <w:tcPr>
            <w:tcW w:w="1470" w:type="pct"/>
            <w:tcBorders>
              <w:top w:val="single" w:sz="2" w:space="0" w:color="auto"/>
            </w:tcBorders>
          </w:tcPr>
          <w:p w14:paraId="1F2140AD" w14:textId="77777777" w:rsidR="0069266A" w:rsidRPr="00125CCC" w:rsidRDefault="0069266A" w:rsidP="00E12F74">
            <w:pPr>
              <w:rPr>
                <w:rFonts w:cs="Arial"/>
                <w:sz w:val="14"/>
                <w:szCs w:val="14"/>
              </w:rPr>
            </w:pPr>
            <w:r w:rsidRPr="00125CCC">
              <w:rPr>
                <w:rFonts w:cs="Arial"/>
                <w:sz w:val="14"/>
                <w:szCs w:val="14"/>
              </w:rPr>
              <w:t>Móttekið f.h. Arion banka (nafn ráðgjafa)</w:t>
            </w:r>
            <w:r>
              <w:rPr>
                <w:rFonts w:cs="Arial"/>
                <w:sz w:val="14"/>
                <w:szCs w:val="14"/>
              </w:rPr>
              <w:t xml:space="preserve"> </w:t>
            </w:r>
          </w:p>
        </w:tc>
        <w:tc>
          <w:tcPr>
            <w:tcW w:w="887" w:type="pct"/>
            <w:gridSpan w:val="2"/>
            <w:tcBorders>
              <w:top w:val="single" w:sz="2" w:space="0" w:color="auto"/>
            </w:tcBorders>
          </w:tcPr>
          <w:p w14:paraId="1F2140AE" w14:textId="77777777" w:rsidR="0069266A" w:rsidRPr="00125CCC" w:rsidRDefault="0069266A" w:rsidP="00E12F74">
            <w:pPr>
              <w:rPr>
                <w:rFonts w:cs="Arial"/>
                <w:sz w:val="14"/>
                <w:szCs w:val="14"/>
              </w:rPr>
            </w:pPr>
            <w:r>
              <w:rPr>
                <w:rFonts w:cs="Arial"/>
                <w:sz w:val="14"/>
                <w:szCs w:val="14"/>
              </w:rPr>
              <w:t>Útibúanúmer</w:t>
            </w:r>
          </w:p>
        </w:tc>
      </w:tr>
    </w:tbl>
    <w:p w14:paraId="1F2140B0" w14:textId="77777777" w:rsidR="0069266A" w:rsidRPr="00F95949" w:rsidRDefault="0069266A" w:rsidP="0069266A">
      <w:pPr>
        <w:pStyle w:val="Footer"/>
        <w:rPr>
          <w:sz w:val="6"/>
          <w:szCs w:val="14"/>
        </w:rPr>
      </w:pPr>
    </w:p>
    <w:p w14:paraId="1F2140B1" w14:textId="77777777" w:rsidR="00110768" w:rsidRDefault="00110768" w:rsidP="0069266A">
      <w:pPr>
        <w:pStyle w:val="Footer"/>
        <w:rPr>
          <w:sz w:val="10"/>
          <w:szCs w:val="14"/>
        </w:rPr>
      </w:pPr>
    </w:p>
    <w:p w14:paraId="0B8EEE07" w14:textId="77777777" w:rsidR="005A744F" w:rsidRDefault="005A744F" w:rsidP="0069266A">
      <w:pPr>
        <w:pStyle w:val="Footer"/>
        <w:rPr>
          <w:sz w:val="10"/>
          <w:szCs w:val="14"/>
        </w:rPr>
      </w:pPr>
    </w:p>
    <w:p w14:paraId="41DD792F" w14:textId="77777777" w:rsidR="005A744F" w:rsidRPr="00623D48" w:rsidRDefault="005A744F" w:rsidP="0069266A">
      <w:pPr>
        <w:pStyle w:val="Footer"/>
        <w:rPr>
          <w:sz w:val="10"/>
          <w:szCs w:val="14"/>
        </w:rPr>
      </w:pPr>
    </w:p>
    <w:p w14:paraId="1F2140B2" w14:textId="77777777" w:rsidR="0069266A" w:rsidRDefault="0069266A" w:rsidP="0069266A">
      <w:pPr>
        <w:pStyle w:val="Footer"/>
        <w:rPr>
          <w:sz w:val="14"/>
          <w:szCs w:val="14"/>
        </w:rPr>
      </w:pPr>
      <w:r w:rsidRPr="00125CCC">
        <w:rPr>
          <w:sz w:val="14"/>
          <w:szCs w:val="14"/>
        </w:rPr>
        <w:t xml:space="preserve">Sendist </w:t>
      </w:r>
      <w:r>
        <w:rPr>
          <w:sz w:val="14"/>
          <w:szCs w:val="14"/>
        </w:rPr>
        <w:t xml:space="preserve">á </w:t>
      </w:r>
      <w:hyperlink r:id="rId14" w:history="1">
        <w:r w:rsidRPr="00202AEE">
          <w:rPr>
            <w:rStyle w:val="Hyperlink"/>
            <w:sz w:val="14"/>
            <w:szCs w:val="14"/>
          </w:rPr>
          <w:t>breytingar@arionbanki.is</w:t>
        </w:r>
      </w:hyperlink>
      <w:r>
        <w:rPr>
          <w:sz w:val="14"/>
          <w:szCs w:val="14"/>
        </w:rPr>
        <w:t xml:space="preserve"> eða </w:t>
      </w:r>
      <w:r w:rsidRPr="00125CCC">
        <w:rPr>
          <w:sz w:val="14"/>
          <w:szCs w:val="14"/>
        </w:rPr>
        <w:t>í pósti til Lífeyrisþjónust</w:t>
      </w:r>
      <w:r>
        <w:rPr>
          <w:sz w:val="14"/>
          <w:szCs w:val="14"/>
        </w:rPr>
        <w:t xml:space="preserve">u, Túngötu 3, 580 Siglufjörður </w:t>
      </w:r>
      <w:r w:rsidRPr="00125CCC">
        <w:rPr>
          <w:sz w:val="14"/>
          <w:szCs w:val="14"/>
        </w:rPr>
        <w:t xml:space="preserve"> </w:t>
      </w:r>
      <w:r>
        <w:rPr>
          <w:sz w:val="14"/>
          <w:szCs w:val="14"/>
        </w:rPr>
        <w:t xml:space="preserve">                                               </w:t>
      </w:r>
      <w:r w:rsidR="00F95949">
        <w:rPr>
          <w:sz w:val="14"/>
          <w:szCs w:val="14"/>
        </w:rPr>
        <w:t xml:space="preserve">                             </w:t>
      </w:r>
      <w:r>
        <w:rPr>
          <w:sz w:val="14"/>
          <w:szCs w:val="14"/>
        </w:rPr>
        <w:t xml:space="preserve">    Eintak Arion banka –B beiðni</w:t>
      </w:r>
    </w:p>
    <w:p w14:paraId="1F2140B3" w14:textId="77777777" w:rsidR="00110768" w:rsidRDefault="00110768">
      <w:pPr>
        <w:spacing w:after="200" w:line="276" w:lineRule="auto"/>
        <w:rPr>
          <w:sz w:val="14"/>
          <w:szCs w:val="14"/>
        </w:rPr>
      </w:pPr>
      <w:r>
        <w:rPr>
          <w:sz w:val="14"/>
          <w:szCs w:val="14"/>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39"/>
        <w:gridCol w:w="2146"/>
      </w:tblGrid>
      <w:tr w:rsidR="004F577D" w:rsidRPr="00125CCC" w14:paraId="1F2140B7" w14:textId="77777777" w:rsidTr="00194CC6">
        <w:trPr>
          <w:trHeight w:val="406"/>
        </w:trPr>
        <w:tc>
          <w:tcPr>
            <w:tcW w:w="3791" w:type="pct"/>
          </w:tcPr>
          <w:p w14:paraId="1F2140B4" w14:textId="77777777" w:rsidR="004F577D" w:rsidRPr="00125CCC" w:rsidRDefault="004F577D" w:rsidP="00194CC6">
            <w:pPr>
              <w:pStyle w:val="Subtitle"/>
              <w:ind w:left="-108"/>
            </w:pPr>
            <w:r w:rsidRPr="00ED7E88">
              <w:rPr>
                <w:sz w:val="24"/>
              </w:rPr>
              <w:lastRenderedPageBreak/>
              <w:t>SAMNINGUR UM VIÐBÓTARLÍFEYRISSPARNAÐ</w:t>
            </w:r>
          </w:p>
        </w:tc>
        <w:tc>
          <w:tcPr>
            <w:tcW w:w="121" w:type="pct"/>
          </w:tcPr>
          <w:p w14:paraId="1F2140B5" w14:textId="77777777" w:rsidR="004F577D" w:rsidRPr="00125CCC" w:rsidRDefault="004F577D" w:rsidP="00194CC6">
            <w:pPr>
              <w:jc w:val="right"/>
              <w:rPr>
                <w:rFonts w:cs="Arial"/>
                <w:noProof/>
                <w:sz w:val="18"/>
                <w:szCs w:val="18"/>
              </w:rPr>
            </w:pPr>
          </w:p>
        </w:tc>
        <w:tc>
          <w:tcPr>
            <w:tcW w:w="1088" w:type="pct"/>
          </w:tcPr>
          <w:p w14:paraId="1F2140B6" w14:textId="77777777" w:rsidR="004F577D" w:rsidRPr="00125CCC" w:rsidRDefault="004F577D" w:rsidP="00194CC6">
            <w:pPr>
              <w:jc w:val="right"/>
              <w:rPr>
                <w:rFonts w:cs="Arial"/>
                <w:noProof/>
                <w:sz w:val="18"/>
                <w:szCs w:val="18"/>
              </w:rPr>
            </w:pPr>
            <w:r w:rsidRPr="00125CCC">
              <w:rPr>
                <w:rFonts w:cs="Arial"/>
                <w:noProof/>
                <w:sz w:val="20"/>
                <w:szCs w:val="20"/>
                <w:lang w:val="en-US"/>
              </w:rPr>
              <w:drawing>
                <wp:inline distT="0" distB="0" distL="0" distR="0" wp14:anchorId="1F214154" wp14:editId="1F214155">
                  <wp:extent cx="955168" cy="2229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3343" cy="234153"/>
                          </a:xfrm>
                          <a:prstGeom prst="rect">
                            <a:avLst/>
                          </a:prstGeom>
                        </pic:spPr>
                      </pic:pic>
                    </a:graphicData>
                  </a:graphic>
                </wp:inline>
              </w:drawing>
            </w:r>
          </w:p>
        </w:tc>
      </w:tr>
    </w:tbl>
    <w:p w14:paraId="1F2140B8" w14:textId="77777777" w:rsidR="004F577D" w:rsidRPr="006045D8" w:rsidRDefault="004F577D" w:rsidP="006350DD">
      <w:pPr>
        <w:spacing w:after="60"/>
        <w:jc w:val="both"/>
        <w:rPr>
          <w:b/>
          <w:sz w:val="4"/>
          <w:szCs w:val="6"/>
        </w:rPr>
      </w:pPr>
    </w:p>
    <w:p w14:paraId="1F2140B9" w14:textId="77777777" w:rsidR="006350DD" w:rsidRPr="007B1D1A" w:rsidRDefault="006350DD" w:rsidP="006350DD">
      <w:pPr>
        <w:spacing w:after="60"/>
        <w:jc w:val="both"/>
        <w:rPr>
          <w:b/>
          <w:sz w:val="16"/>
          <w:szCs w:val="18"/>
        </w:rPr>
      </w:pPr>
      <w:r w:rsidRPr="007B1D1A">
        <w:rPr>
          <w:b/>
          <w:sz w:val="16"/>
          <w:szCs w:val="18"/>
        </w:rPr>
        <w:t>Fjárfestingarstefna Lífeyrisauka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289"/>
        <w:gridCol w:w="1561"/>
        <w:gridCol w:w="1275"/>
        <w:gridCol w:w="1419"/>
        <w:gridCol w:w="1277"/>
        <w:gridCol w:w="1492"/>
      </w:tblGrid>
      <w:tr w:rsidR="007559E2" w:rsidRPr="00125CCC" w14:paraId="1F2140C8" w14:textId="77777777" w:rsidTr="007559E2">
        <w:tc>
          <w:tcPr>
            <w:tcW w:w="782" w:type="pct"/>
            <w:tcBorders>
              <w:bottom w:val="single" w:sz="4" w:space="0" w:color="auto"/>
            </w:tcBorders>
            <w:shd w:val="clear" w:color="auto" w:fill="auto"/>
          </w:tcPr>
          <w:p w14:paraId="1F2140BA" w14:textId="77777777" w:rsidR="007559E2" w:rsidRPr="00125CCC" w:rsidRDefault="007559E2" w:rsidP="00E12F74">
            <w:pPr>
              <w:tabs>
                <w:tab w:val="left" w:pos="2184"/>
              </w:tabs>
              <w:rPr>
                <w:b/>
                <w:sz w:val="4"/>
                <w:szCs w:val="4"/>
              </w:rPr>
            </w:pPr>
          </w:p>
          <w:p w14:paraId="1F2140BB" w14:textId="77777777" w:rsidR="007559E2" w:rsidRPr="006045D8" w:rsidRDefault="007559E2" w:rsidP="00E12F74">
            <w:pPr>
              <w:tabs>
                <w:tab w:val="left" w:pos="2184"/>
              </w:tabs>
              <w:rPr>
                <w:b/>
                <w:sz w:val="14"/>
                <w:szCs w:val="14"/>
              </w:rPr>
            </w:pPr>
            <w:r w:rsidRPr="00125CCC">
              <w:rPr>
                <w:b/>
                <w:sz w:val="14"/>
                <w:szCs w:val="14"/>
              </w:rPr>
              <w:t>Fjárfestingarleið</w:t>
            </w:r>
          </w:p>
        </w:tc>
        <w:tc>
          <w:tcPr>
            <w:tcW w:w="654" w:type="pct"/>
            <w:tcBorders>
              <w:bottom w:val="single" w:sz="4" w:space="0" w:color="auto"/>
            </w:tcBorders>
            <w:shd w:val="clear" w:color="auto" w:fill="auto"/>
          </w:tcPr>
          <w:p w14:paraId="1F2140BC" w14:textId="77777777" w:rsidR="007559E2" w:rsidRPr="00125CCC" w:rsidRDefault="007559E2" w:rsidP="00E12F74">
            <w:pPr>
              <w:tabs>
                <w:tab w:val="left" w:pos="2184"/>
              </w:tabs>
              <w:jc w:val="center"/>
              <w:rPr>
                <w:b/>
                <w:sz w:val="4"/>
                <w:szCs w:val="4"/>
              </w:rPr>
            </w:pPr>
          </w:p>
          <w:p w14:paraId="1F2140BD" w14:textId="77777777" w:rsidR="007559E2" w:rsidRPr="006045D8" w:rsidRDefault="007559E2" w:rsidP="006045D8">
            <w:pPr>
              <w:tabs>
                <w:tab w:val="left" w:pos="2184"/>
              </w:tabs>
              <w:jc w:val="center"/>
              <w:rPr>
                <w:sz w:val="14"/>
                <w:szCs w:val="14"/>
              </w:rPr>
            </w:pPr>
            <w:r w:rsidRPr="00125CCC">
              <w:rPr>
                <w:b/>
                <w:sz w:val="14"/>
                <w:szCs w:val="14"/>
              </w:rPr>
              <w:t>Innlend hlbr.</w:t>
            </w:r>
            <w:r w:rsidRPr="00125CCC">
              <w:rPr>
                <w:b/>
                <w:sz w:val="14"/>
                <w:szCs w:val="14"/>
                <w:vertAlign w:val="superscript"/>
              </w:rPr>
              <w:t>1</w:t>
            </w:r>
          </w:p>
        </w:tc>
        <w:tc>
          <w:tcPr>
            <w:tcW w:w="792" w:type="pct"/>
            <w:tcBorders>
              <w:bottom w:val="single" w:sz="4" w:space="0" w:color="auto"/>
            </w:tcBorders>
            <w:shd w:val="clear" w:color="auto" w:fill="auto"/>
          </w:tcPr>
          <w:p w14:paraId="1F2140BE" w14:textId="77777777" w:rsidR="007559E2" w:rsidRPr="00125CCC" w:rsidRDefault="007559E2" w:rsidP="00E12F74">
            <w:pPr>
              <w:tabs>
                <w:tab w:val="left" w:pos="2184"/>
              </w:tabs>
              <w:jc w:val="center"/>
              <w:rPr>
                <w:b/>
                <w:sz w:val="4"/>
                <w:szCs w:val="4"/>
              </w:rPr>
            </w:pPr>
          </w:p>
          <w:p w14:paraId="1F2140BF" w14:textId="77777777" w:rsidR="007559E2" w:rsidRPr="006045D8" w:rsidRDefault="007559E2" w:rsidP="006045D8">
            <w:pPr>
              <w:tabs>
                <w:tab w:val="left" w:pos="2184"/>
              </w:tabs>
              <w:jc w:val="center"/>
              <w:rPr>
                <w:b/>
                <w:sz w:val="14"/>
                <w:szCs w:val="14"/>
              </w:rPr>
            </w:pPr>
            <w:r w:rsidRPr="00125CCC">
              <w:rPr>
                <w:b/>
                <w:sz w:val="14"/>
                <w:szCs w:val="14"/>
              </w:rPr>
              <w:t>Innlend skuldabréf</w:t>
            </w:r>
          </w:p>
        </w:tc>
        <w:tc>
          <w:tcPr>
            <w:tcW w:w="647" w:type="pct"/>
            <w:tcBorders>
              <w:bottom w:val="single" w:sz="4" w:space="0" w:color="auto"/>
            </w:tcBorders>
            <w:shd w:val="clear" w:color="auto" w:fill="auto"/>
          </w:tcPr>
          <w:p w14:paraId="1F2140C0" w14:textId="77777777" w:rsidR="007559E2" w:rsidRPr="00125CCC" w:rsidRDefault="007559E2" w:rsidP="00E12F74">
            <w:pPr>
              <w:tabs>
                <w:tab w:val="left" w:pos="2184"/>
              </w:tabs>
              <w:jc w:val="center"/>
              <w:rPr>
                <w:b/>
                <w:sz w:val="4"/>
                <w:szCs w:val="4"/>
              </w:rPr>
            </w:pPr>
          </w:p>
          <w:p w14:paraId="1F2140C1" w14:textId="77777777" w:rsidR="007559E2" w:rsidRPr="00125CCC" w:rsidRDefault="007559E2" w:rsidP="00E12F74">
            <w:pPr>
              <w:tabs>
                <w:tab w:val="left" w:pos="2184"/>
              </w:tabs>
              <w:jc w:val="center"/>
              <w:rPr>
                <w:b/>
                <w:sz w:val="14"/>
                <w:szCs w:val="14"/>
              </w:rPr>
            </w:pPr>
            <w:r w:rsidRPr="00125CCC">
              <w:rPr>
                <w:b/>
                <w:sz w:val="14"/>
                <w:szCs w:val="14"/>
              </w:rPr>
              <w:t>Erlend hlutabréf</w:t>
            </w:r>
          </w:p>
        </w:tc>
        <w:tc>
          <w:tcPr>
            <w:tcW w:w="720" w:type="pct"/>
            <w:tcBorders>
              <w:bottom w:val="single" w:sz="4" w:space="0" w:color="auto"/>
            </w:tcBorders>
            <w:shd w:val="clear" w:color="auto" w:fill="auto"/>
          </w:tcPr>
          <w:p w14:paraId="1F2140C2" w14:textId="77777777" w:rsidR="007559E2" w:rsidRPr="00125CCC" w:rsidRDefault="007559E2" w:rsidP="00E12F74">
            <w:pPr>
              <w:tabs>
                <w:tab w:val="left" w:pos="2184"/>
              </w:tabs>
              <w:jc w:val="center"/>
              <w:rPr>
                <w:b/>
                <w:sz w:val="4"/>
                <w:szCs w:val="4"/>
              </w:rPr>
            </w:pPr>
          </w:p>
          <w:p w14:paraId="1F2140C3" w14:textId="77777777" w:rsidR="007559E2" w:rsidRPr="00125CCC" w:rsidRDefault="007559E2" w:rsidP="00E12F74">
            <w:pPr>
              <w:tabs>
                <w:tab w:val="left" w:pos="2184"/>
              </w:tabs>
              <w:jc w:val="center"/>
              <w:rPr>
                <w:b/>
                <w:sz w:val="14"/>
                <w:szCs w:val="14"/>
              </w:rPr>
            </w:pPr>
            <w:r w:rsidRPr="00125CCC">
              <w:rPr>
                <w:b/>
                <w:sz w:val="14"/>
                <w:szCs w:val="14"/>
              </w:rPr>
              <w:t>Erlend skuldabréf</w:t>
            </w:r>
          </w:p>
        </w:tc>
        <w:tc>
          <w:tcPr>
            <w:tcW w:w="648" w:type="pct"/>
            <w:tcBorders>
              <w:bottom w:val="single" w:sz="4" w:space="0" w:color="auto"/>
            </w:tcBorders>
            <w:shd w:val="clear" w:color="auto" w:fill="auto"/>
          </w:tcPr>
          <w:p w14:paraId="1F2140C4" w14:textId="77777777" w:rsidR="007559E2" w:rsidRPr="00125CCC" w:rsidRDefault="007559E2" w:rsidP="00E12F74">
            <w:pPr>
              <w:tabs>
                <w:tab w:val="left" w:pos="2184"/>
              </w:tabs>
              <w:jc w:val="center"/>
              <w:rPr>
                <w:b/>
                <w:sz w:val="4"/>
                <w:szCs w:val="4"/>
              </w:rPr>
            </w:pPr>
          </w:p>
          <w:p w14:paraId="1F2140C5" w14:textId="77777777" w:rsidR="007559E2" w:rsidRPr="006045D8" w:rsidRDefault="007559E2" w:rsidP="006045D8">
            <w:pPr>
              <w:tabs>
                <w:tab w:val="left" w:pos="2184"/>
              </w:tabs>
              <w:jc w:val="center"/>
              <w:rPr>
                <w:b/>
                <w:sz w:val="14"/>
                <w:szCs w:val="14"/>
              </w:rPr>
            </w:pPr>
            <w:r w:rsidRPr="00125CCC">
              <w:rPr>
                <w:b/>
                <w:sz w:val="14"/>
                <w:szCs w:val="14"/>
              </w:rPr>
              <w:t>Innlán</w:t>
            </w:r>
          </w:p>
        </w:tc>
        <w:tc>
          <w:tcPr>
            <w:tcW w:w="757" w:type="pct"/>
            <w:tcBorders>
              <w:bottom w:val="single" w:sz="4" w:space="0" w:color="auto"/>
            </w:tcBorders>
            <w:shd w:val="clear" w:color="auto" w:fill="auto"/>
          </w:tcPr>
          <w:p w14:paraId="1F2140C6" w14:textId="77777777" w:rsidR="007559E2" w:rsidRPr="00125CCC" w:rsidRDefault="007559E2" w:rsidP="00E12F74">
            <w:pPr>
              <w:tabs>
                <w:tab w:val="left" w:pos="2184"/>
              </w:tabs>
              <w:jc w:val="center"/>
              <w:rPr>
                <w:b/>
                <w:sz w:val="4"/>
                <w:szCs w:val="4"/>
              </w:rPr>
            </w:pPr>
          </w:p>
          <w:p w14:paraId="1F2140C7" w14:textId="77777777" w:rsidR="007559E2" w:rsidRPr="006045D8" w:rsidRDefault="007559E2" w:rsidP="006045D8">
            <w:pPr>
              <w:tabs>
                <w:tab w:val="left" w:pos="2184"/>
              </w:tabs>
              <w:jc w:val="center"/>
              <w:rPr>
                <w:b/>
                <w:sz w:val="14"/>
                <w:szCs w:val="14"/>
              </w:rPr>
            </w:pPr>
            <w:r w:rsidRPr="00125CCC">
              <w:rPr>
                <w:b/>
                <w:sz w:val="14"/>
                <w:szCs w:val="14"/>
              </w:rPr>
              <w:t xml:space="preserve">Aldur í Ævilínu </w:t>
            </w:r>
          </w:p>
        </w:tc>
      </w:tr>
      <w:tr w:rsidR="007559E2" w:rsidRPr="00125CCC" w14:paraId="1F2140D6" w14:textId="77777777" w:rsidTr="007559E2">
        <w:trPr>
          <w:trHeight w:val="57"/>
        </w:trPr>
        <w:tc>
          <w:tcPr>
            <w:tcW w:w="782" w:type="pct"/>
            <w:tcBorders>
              <w:bottom w:val="single" w:sz="4" w:space="0" w:color="auto"/>
            </w:tcBorders>
            <w:shd w:val="clear" w:color="auto" w:fill="auto"/>
          </w:tcPr>
          <w:p w14:paraId="1F2140C9" w14:textId="77777777" w:rsidR="007559E2" w:rsidRPr="00125CCC" w:rsidRDefault="007559E2" w:rsidP="00E12F74">
            <w:pPr>
              <w:tabs>
                <w:tab w:val="left" w:pos="2184"/>
              </w:tabs>
              <w:rPr>
                <w:sz w:val="4"/>
                <w:szCs w:val="4"/>
              </w:rPr>
            </w:pPr>
          </w:p>
          <w:p w14:paraId="1F2140CA" w14:textId="77777777" w:rsidR="007559E2" w:rsidRPr="004F577D" w:rsidRDefault="007559E2" w:rsidP="00E12F74">
            <w:pPr>
              <w:tabs>
                <w:tab w:val="left" w:pos="2184"/>
              </w:tabs>
              <w:rPr>
                <w:sz w:val="14"/>
                <w:szCs w:val="14"/>
              </w:rPr>
            </w:pPr>
            <w:r w:rsidRPr="00125CCC">
              <w:rPr>
                <w:sz w:val="14"/>
                <w:szCs w:val="14"/>
              </w:rPr>
              <w:t>Lífeyrisauki 1</w:t>
            </w:r>
          </w:p>
        </w:tc>
        <w:tc>
          <w:tcPr>
            <w:tcW w:w="654" w:type="pct"/>
            <w:tcBorders>
              <w:bottom w:val="single" w:sz="4" w:space="0" w:color="auto"/>
            </w:tcBorders>
            <w:shd w:val="clear" w:color="auto" w:fill="auto"/>
          </w:tcPr>
          <w:p w14:paraId="1F2140CB" w14:textId="77777777" w:rsidR="007559E2" w:rsidRPr="00125CCC" w:rsidRDefault="007559E2" w:rsidP="00E12F74">
            <w:pPr>
              <w:tabs>
                <w:tab w:val="left" w:pos="2184"/>
              </w:tabs>
              <w:jc w:val="center"/>
              <w:rPr>
                <w:sz w:val="4"/>
                <w:szCs w:val="4"/>
              </w:rPr>
            </w:pPr>
          </w:p>
          <w:p w14:paraId="1F2140CC" w14:textId="77777777" w:rsidR="007559E2" w:rsidRPr="004F577D" w:rsidRDefault="007559E2" w:rsidP="004F577D">
            <w:pPr>
              <w:tabs>
                <w:tab w:val="left" w:pos="2184"/>
              </w:tabs>
              <w:jc w:val="center"/>
              <w:rPr>
                <w:sz w:val="14"/>
                <w:szCs w:val="14"/>
              </w:rPr>
            </w:pPr>
            <w:r w:rsidRPr="00125CCC">
              <w:rPr>
                <w:sz w:val="14"/>
                <w:szCs w:val="14"/>
              </w:rPr>
              <w:t>15%</w:t>
            </w:r>
          </w:p>
        </w:tc>
        <w:tc>
          <w:tcPr>
            <w:tcW w:w="792" w:type="pct"/>
            <w:tcBorders>
              <w:bottom w:val="single" w:sz="4" w:space="0" w:color="auto"/>
            </w:tcBorders>
            <w:shd w:val="clear" w:color="auto" w:fill="auto"/>
          </w:tcPr>
          <w:p w14:paraId="1F2140CD" w14:textId="77777777" w:rsidR="007559E2" w:rsidRPr="00125CCC" w:rsidRDefault="007559E2" w:rsidP="00E12F74">
            <w:pPr>
              <w:tabs>
                <w:tab w:val="left" w:pos="2184"/>
              </w:tabs>
              <w:jc w:val="center"/>
              <w:rPr>
                <w:sz w:val="4"/>
                <w:szCs w:val="4"/>
              </w:rPr>
            </w:pPr>
          </w:p>
          <w:p w14:paraId="1F2140CE" w14:textId="77777777" w:rsidR="007559E2" w:rsidRPr="004F577D" w:rsidRDefault="007559E2" w:rsidP="00705637">
            <w:pPr>
              <w:tabs>
                <w:tab w:val="left" w:pos="2184"/>
              </w:tabs>
              <w:jc w:val="center"/>
              <w:rPr>
                <w:sz w:val="14"/>
                <w:szCs w:val="14"/>
              </w:rPr>
            </w:pPr>
            <w:r w:rsidRPr="00125CCC">
              <w:rPr>
                <w:sz w:val="14"/>
                <w:szCs w:val="14"/>
              </w:rPr>
              <w:t>3</w:t>
            </w:r>
            <w:r>
              <w:rPr>
                <w:sz w:val="14"/>
                <w:szCs w:val="14"/>
              </w:rPr>
              <w:t>0</w:t>
            </w:r>
            <w:r w:rsidRPr="00125CCC">
              <w:rPr>
                <w:sz w:val="14"/>
                <w:szCs w:val="14"/>
              </w:rPr>
              <w:t>%</w:t>
            </w:r>
          </w:p>
        </w:tc>
        <w:tc>
          <w:tcPr>
            <w:tcW w:w="647" w:type="pct"/>
            <w:tcBorders>
              <w:bottom w:val="single" w:sz="4" w:space="0" w:color="auto"/>
            </w:tcBorders>
            <w:shd w:val="clear" w:color="auto" w:fill="auto"/>
          </w:tcPr>
          <w:p w14:paraId="1F2140CF" w14:textId="77777777" w:rsidR="007559E2" w:rsidRPr="00125CCC" w:rsidRDefault="007559E2" w:rsidP="00E12F74">
            <w:pPr>
              <w:tabs>
                <w:tab w:val="left" w:pos="2184"/>
              </w:tabs>
              <w:jc w:val="center"/>
              <w:rPr>
                <w:sz w:val="4"/>
                <w:szCs w:val="4"/>
              </w:rPr>
            </w:pPr>
          </w:p>
          <w:p w14:paraId="1F2140D0" w14:textId="77777777" w:rsidR="007559E2" w:rsidRPr="004F577D" w:rsidRDefault="007559E2" w:rsidP="004F577D">
            <w:pPr>
              <w:tabs>
                <w:tab w:val="left" w:pos="2184"/>
              </w:tabs>
              <w:jc w:val="center"/>
              <w:rPr>
                <w:sz w:val="14"/>
                <w:szCs w:val="14"/>
              </w:rPr>
            </w:pPr>
            <w:r w:rsidRPr="00125CCC">
              <w:rPr>
                <w:sz w:val="14"/>
                <w:szCs w:val="14"/>
              </w:rPr>
              <w:t>50%</w:t>
            </w:r>
          </w:p>
        </w:tc>
        <w:tc>
          <w:tcPr>
            <w:tcW w:w="720" w:type="pct"/>
            <w:tcBorders>
              <w:bottom w:val="single" w:sz="4" w:space="0" w:color="auto"/>
            </w:tcBorders>
            <w:shd w:val="clear" w:color="auto" w:fill="auto"/>
          </w:tcPr>
          <w:p w14:paraId="1F2140D1" w14:textId="77777777" w:rsidR="007559E2" w:rsidRPr="00125CCC" w:rsidRDefault="007559E2" w:rsidP="00705637">
            <w:pPr>
              <w:tabs>
                <w:tab w:val="left" w:pos="2184"/>
              </w:tabs>
              <w:jc w:val="center"/>
              <w:rPr>
                <w:sz w:val="4"/>
                <w:szCs w:val="4"/>
              </w:rPr>
            </w:pPr>
          </w:p>
          <w:p w14:paraId="1F2140D2" w14:textId="77777777" w:rsidR="007559E2" w:rsidRPr="00125CCC" w:rsidRDefault="007559E2" w:rsidP="00705637">
            <w:pPr>
              <w:tabs>
                <w:tab w:val="left" w:pos="2184"/>
              </w:tabs>
              <w:jc w:val="center"/>
              <w:rPr>
                <w:sz w:val="4"/>
                <w:szCs w:val="4"/>
              </w:rPr>
            </w:pPr>
            <w:r w:rsidRPr="00125CCC">
              <w:rPr>
                <w:sz w:val="14"/>
                <w:szCs w:val="14"/>
              </w:rPr>
              <w:t>5%</w:t>
            </w:r>
          </w:p>
        </w:tc>
        <w:tc>
          <w:tcPr>
            <w:tcW w:w="648" w:type="pct"/>
            <w:tcBorders>
              <w:bottom w:val="single" w:sz="4" w:space="0" w:color="auto"/>
            </w:tcBorders>
            <w:shd w:val="clear" w:color="auto" w:fill="auto"/>
          </w:tcPr>
          <w:p w14:paraId="1F2140D3" w14:textId="77777777" w:rsidR="007559E2" w:rsidRPr="00125CCC" w:rsidRDefault="007559E2" w:rsidP="00E12F74">
            <w:pPr>
              <w:tabs>
                <w:tab w:val="left" w:pos="2184"/>
              </w:tabs>
              <w:jc w:val="center"/>
              <w:rPr>
                <w:sz w:val="14"/>
                <w:szCs w:val="14"/>
              </w:rPr>
            </w:pPr>
          </w:p>
        </w:tc>
        <w:tc>
          <w:tcPr>
            <w:tcW w:w="757" w:type="pct"/>
            <w:tcBorders>
              <w:bottom w:val="single" w:sz="4" w:space="0" w:color="auto"/>
            </w:tcBorders>
            <w:shd w:val="clear" w:color="auto" w:fill="auto"/>
          </w:tcPr>
          <w:p w14:paraId="1F2140D4" w14:textId="77777777" w:rsidR="007559E2" w:rsidRPr="00125CCC" w:rsidRDefault="007559E2" w:rsidP="00E12F74">
            <w:pPr>
              <w:tabs>
                <w:tab w:val="left" w:pos="2184"/>
              </w:tabs>
              <w:jc w:val="center"/>
              <w:rPr>
                <w:sz w:val="4"/>
                <w:szCs w:val="4"/>
              </w:rPr>
            </w:pPr>
          </w:p>
          <w:p w14:paraId="1F2140D5" w14:textId="77777777" w:rsidR="007559E2" w:rsidRPr="00125CCC" w:rsidRDefault="007559E2" w:rsidP="00E12F74">
            <w:pPr>
              <w:tabs>
                <w:tab w:val="left" w:pos="2184"/>
              </w:tabs>
              <w:jc w:val="center"/>
              <w:rPr>
                <w:sz w:val="14"/>
                <w:szCs w:val="14"/>
              </w:rPr>
            </w:pPr>
            <w:r w:rsidRPr="00125CCC">
              <w:rPr>
                <w:sz w:val="14"/>
                <w:szCs w:val="14"/>
              </w:rPr>
              <w:t>30 ára og yngri</w:t>
            </w:r>
          </w:p>
        </w:tc>
      </w:tr>
      <w:tr w:rsidR="007559E2" w:rsidRPr="00125CCC" w14:paraId="1F2140E4" w14:textId="77777777" w:rsidTr="007559E2">
        <w:trPr>
          <w:trHeight w:val="57"/>
        </w:trPr>
        <w:tc>
          <w:tcPr>
            <w:tcW w:w="782" w:type="pct"/>
            <w:tcBorders>
              <w:bottom w:val="single" w:sz="4" w:space="0" w:color="auto"/>
            </w:tcBorders>
            <w:shd w:val="clear" w:color="auto" w:fill="auto"/>
          </w:tcPr>
          <w:p w14:paraId="1F2140D7" w14:textId="77777777" w:rsidR="007559E2" w:rsidRPr="00125CCC" w:rsidRDefault="007559E2" w:rsidP="00E12F74">
            <w:pPr>
              <w:tabs>
                <w:tab w:val="left" w:pos="2184"/>
              </w:tabs>
              <w:rPr>
                <w:sz w:val="4"/>
                <w:szCs w:val="4"/>
              </w:rPr>
            </w:pPr>
          </w:p>
          <w:p w14:paraId="1F2140D8" w14:textId="77777777" w:rsidR="007559E2" w:rsidRPr="004F577D" w:rsidRDefault="007559E2" w:rsidP="00E12F74">
            <w:pPr>
              <w:tabs>
                <w:tab w:val="left" w:pos="2184"/>
              </w:tabs>
              <w:rPr>
                <w:sz w:val="14"/>
                <w:szCs w:val="14"/>
              </w:rPr>
            </w:pPr>
            <w:r w:rsidRPr="00125CCC">
              <w:rPr>
                <w:sz w:val="14"/>
                <w:szCs w:val="14"/>
              </w:rPr>
              <w:t>Lífeyrisauki 2</w:t>
            </w:r>
          </w:p>
        </w:tc>
        <w:tc>
          <w:tcPr>
            <w:tcW w:w="654" w:type="pct"/>
            <w:tcBorders>
              <w:bottom w:val="single" w:sz="4" w:space="0" w:color="auto"/>
            </w:tcBorders>
            <w:shd w:val="clear" w:color="auto" w:fill="auto"/>
          </w:tcPr>
          <w:p w14:paraId="1F2140D9" w14:textId="77777777" w:rsidR="007559E2" w:rsidRPr="00125CCC" w:rsidRDefault="007559E2" w:rsidP="00E12F74">
            <w:pPr>
              <w:tabs>
                <w:tab w:val="left" w:pos="2184"/>
              </w:tabs>
              <w:jc w:val="center"/>
              <w:rPr>
                <w:sz w:val="4"/>
                <w:szCs w:val="4"/>
              </w:rPr>
            </w:pPr>
          </w:p>
          <w:p w14:paraId="1F2140DA" w14:textId="77777777" w:rsidR="007559E2" w:rsidRPr="004F577D" w:rsidRDefault="007559E2" w:rsidP="004F577D">
            <w:pPr>
              <w:tabs>
                <w:tab w:val="left" w:pos="2184"/>
              </w:tabs>
              <w:jc w:val="center"/>
              <w:rPr>
                <w:sz w:val="14"/>
                <w:szCs w:val="14"/>
              </w:rPr>
            </w:pPr>
            <w:r w:rsidRPr="00125CCC">
              <w:rPr>
                <w:sz w:val="14"/>
                <w:szCs w:val="14"/>
              </w:rPr>
              <w:t>15%</w:t>
            </w:r>
          </w:p>
        </w:tc>
        <w:tc>
          <w:tcPr>
            <w:tcW w:w="792" w:type="pct"/>
            <w:tcBorders>
              <w:bottom w:val="single" w:sz="4" w:space="0" w:color="auto"/>
            </w:tcBorders>
            <w:shd w:val="clear" w:color="auto" w:fill="auto"/>
          </w:tcPr>
          <w:p w14:paraId="1F2140DB" w14:textId="77777777" w:rsidR="007559E2" w:rsidRPr="00125CCC" w:rsidRDefault="007559E2" w:rsidP="00E12F74">
            <w:pPr>
              <w:tabs>
                <w:tab w:val="left" w:pos="2184"/>
              </w:tabs>
              <w:jc w:val="center"/>
              <w:rPr>
                <w:sz w:val="4"/>
                <w:szCs w:val="4"/>
              </w:rPr>
            </w:pPr>
          </w:p>
          <w:p w14:paraId="1F2140DC" w14:textId="77777777" w:rsidR="007559E2" w:rsidRPr="004F577D" w:rsidRDefault="007559E2" w:rsidP="004F577D">
            <w:pPr>
              <w:tabs>
                <w:tab w:val="left" w:pos="2184"/>
              </w:tabs>
              <w:jc w:val="center"/>
              <w:rPr>
                <w:sz w:val="14"/>
                <w:szCs w:val="14"/>
              </w:rPr>
            </w:pPr>
            <w:r w:rsidRPr="00125CCC">
              <w:rPr>
                <w:sz w:val="14"/>
                <w:szCs w:val="14"/>
              </w:rPr>
              <w:t>45%</w:t>
            </w:r>
          </w:p>
        </w:tc>
        <w:tc>
          <w:tcPr>
            <w:tcW w:w="647" w:type="pct"/>
            <w:tcBorders>
              <w:bottom w:val="single" w:sz="4" w:space="0" w:color="auto"/>
            </w:tcBorders>
            <w:shd w:val="clear" w:color="auto" w:fill="auto"/>
          </w:tcPr>
          <w:p w14:paraId="1F2140DD" w14:textId="77777777" w:rsidR="007559E2" w:rsidRPr="00125CCC" w:rsidRDefault="007559E2" w:rsidP="00E12F74">
            <w:pPr>
              <w:tabs>
                <w:tab w:val="left" w:pos="2184"/>
              </w:tabs>
              <w:jc w:val="center"/>
              <w:rPr>
                <w:sz w:val="4"/>
                <w:szCs w:val="4"/>
              </w:rPr>
            </w:pPr>
          </w:p>
          <w:p w14:paraId="1F2140DE" w14:textId="77777777" w:rsidR="007559E2" w:rsidRPr="004F577D" w:rsidRDefault="007559E2" w:rsidP="004F577D">
            <w:pPr>
              <w:tabs>
                <w:tab w:val="left" w:pos="2184"/>
              </w:tabs>
              <w:jc w:val="center"/>
              <w:rPr>
                <w:sz w:val="14"/>
                <w:szCs w:val="14"/>
              </w:rPr>
            </w:pPr>
            <w:r w:rsidRPr="00125CCC">
              <w:rPr>
                <w:sz w:val="14"/>
                <w:szCs w:val="14"/>
              </w:rPr>
              <w:t>35%</w:t>
            </w:r>
          </w:p>
        </w:tc>
        <w:tc>
          <w:tcPr>
            <w:tcW w:w="720" w:type="pct"/>
            <w:tcBorders>
              <w:bottom w:val="single" w:sz="4" w:space="0" w:color="auto"/>
            </w:tcBorders>
            <w:shd w:val="clear" w:color="auto" w:fill="auto"/>
          </w:tcPr>
          <w:p w14:paraId="1F2140DF" w14:textId="77777777" w:rsidR="007559E2" w:rsidRPr="00125CCC" w:rsidRDefault="007559E2" w:rsidP="00E12F74">
            <w:pPr>
              <w:tabs>
                <w:tab w:val="left" w:pos="2184"/>
              </w:tabs>
              <w:jc w:val="center"/>
              <w:rPr>
                <w:sz w:val="4"/>
                <w:szCs w:val="4"/>
              </w:rPr>
            </w:pPr>
          </w:p>
          <w:p w14:paraId="1F2140E0" w14:textId="77777777" w:rsidR="007559E2" w:rsidRPr="004F577D" w:rsidRDefault="007559E2" w:rsidP="004F577D">
            <w:pPr>
              <w:tabs>
                <w:tab w:val="left" w:pos="2184"/>
              </w:tabs>
              <w:jc w:val="center"/>
              <w:rPr>
                <w:sz w:val="14"/>
                <w:szCs w:val="14"/>
              </w:rPr>
            </w:pPr>
            <w:r w:rsidRPr="00125CCC">
              <w:rPr>
                <w:sz w:val="14"/>
                <w:szCs w:val="14"/>
              </w:rPr>
              <w:t>5%</w:t>
            </w:r>
          </w:p>
        </w:tc>
        <w:tc>
          <w:tcPr>
            <w:tcW w:w="648" w:type="pct"/>
            <w:tcBorders>
              <w:bottom w:val="single" w:sz="4" w:space="0" w:color="auto"/>
            </w:tcBorders>
            <w:shd w:val="clear" w:color="auto" w:fill="auto"/>
          </w:tcPr>
          <w:p w14:paraId="1F2140E1" w14:textId="77777777" w:rsidR="007559E2" w:rsidRPr="00125CCC" w:rsidRDefault="007559E2" w:rsidP="00E12F74">
            <w:pPr>
              <w:tabs>
                <w:tab w:val="left" w:pos="2184"/>
              </w:tabs>
              <w:jc w:val="center"/>
              <w:rPr>
                <w:sz w:val="4"/>
                <w:szCs w:val="4"/>
              </w:rPr>
            </w:pPr>
          </w:p>
        </w:tc>
        <w:tc>
          <w:tcPr>
            <w:tcW w:w="757" w:type="pct"/>
            <w:tcBorders>
              <w:bottom w:val="single" w:sz="4" w:space="0" w:color="auto"/>
            </w:tcBorders>
            <w:shd w:val="clear" w:color="auto" w:fill="auto"/>
          </w:tcPr>
          <w:p w14:paraId="1F2140E2" w14:textId="77777777" w:rsidR="007559E2" w:rsidRPr="00125CCC" w:rsidRDefault="007559E2" w:rsidP="00E12F74">
            <w:pPr>
              <w:tabs>
                <w:tab w:val="left" w:pos="2184"/>
              </w:tabs>
              <w:jc w:val="center"/>
              <w:rPr>
                <w:sz w:val="4"/>
                <w:szCs w:val="4"/>
              </w:rPr>
            </w:pPr>
          </w:p>
          <w:p w14:paraId="1F2140E3" w14:textId="77777777" w:rsidR="007559E2" w:rsidRPr="00125CCC" w:rsidRDefault="007559E2" w:rsidP="00E12F74">
            <w:pPr>
              <w:tabs>
                <w:tab w:val="left" w:pos="2184"/>
              </w:tabs>
              <w:jc w:val="center"/>
              <w:rPr>
                <w:sz w:val="4"/>
                <w:szCs w:val="4"/>
              </w:rPr>
            </w:pPr>
            <w:r w:rsidRPr="00125CCC">
              <w:rPr>
                <w:sz w:val="14"/>
                <w:szCs w:val="14"/>
              </w:rPr>
              <w:t>31-40 ára</w:t>
            </w:r>
          </w:p>
        </w:tc>
      </w:tr>
      <w:tr w:rsidR="007559E2" w:rsidRPr="00125CCC" w14:paraId="1F2140F1" w14:textId="77777777" w:rsidTr="007559E2">
        <w:trPr>
          <w:trHeight w:val="57"/>
        </w:trPr>
        <w:tc>
          <w:tcPr>
            <w:tcW w:w="782" w:type="pct"/>
            <w:tcBorders>
              <w:bottom w:val="single" w:sz="4" w:space="0" w:color="auto"/>
            </w:tcBorders>
            <w:shd w:val="clear" w:color="auto" w:fill="auto"/>
          </w:tcPr>
          <w:p w14:paraId="1F2140E5" w14:textId="77777777" w:rsidR="007559E2" w:rsidRPr="00125CCC" w:rsidRDefault="007559E2" w:rsidP="00E12F74">
            <w:pPr>
              <w:tabs>
                <w:tab w:val="left" w:pos="2184"/>
              </w:tabs>
              <w:rPr>
                <w:sz w:val="4"/>
                <w:szCs w:val="4"/>
              </w:rPr>
            </w:pPr>
          </w:p>
          <w:p w14:paraId="1F2140E6" w14:textId="77777777" w:rsidR="007559E2" w:rsidRPr="004F577D" w:rsidRDefault="007559E2" w:rsidP="00E12F74">
            <w:pPr>
              <w:tabs>
                <w:tab w:val="left" w:pos="2184"/>
              </w:tabs>
              <w:rPr>
                <w:sz w:val="14"/>
                <w:szCs w:val="14"/>
              </w:rPr>
            </w:pPr>
            <w:r w:rsidRPr="00125CCC">
              <w:rPr>
                <w:sz w:val="14"/>
                <w:szCs w:val="14"/>
              </w:rPr>
              <w:t>Lífeyrisauki 3</w:t>
            </w:r>
          </w:p>
        </w:tc>
        <w:tc>
          <w:tcPr>
            <w:tcW w:w="654" w:type="pct"/>
            <w:tcBorders>
              <w:bottom w:val="single" w:sz="4" w:space="0" w:color="auto"/>
            </w:tcBorders>
            <w:shd w:val="clear" w:color="auto" w:fill="auto"/>
          </w:tcPr>
          <w:p w14:paraId="1F2140E7" w14:textId="77777777" w:rsidR="007559E2" w:rsidRPr="00125CCC" w:rsidRDefault="007559E2" w:rsidP="00E12F74">
            <w:pPr>
              <w:tabs>
                <w:tab w:val="left" w:pos="2184"/>
              </w:tabs>
              <w:jc w:val="center"/>
              <w:rPr>
                <w:sz w:val="4"/>
                <w:szCs w:val="4"/>
              </w:rPr>
            </w:pPr>
          </w:p>
          <w:p w14:paraId="1F2140E8" w14:textId="77777777" w:rsidR="007559E2" w:rsidRPr="004F577D" w:rsidRDefault="007559E2" w:rsidP="004F577D">
            <w:pPr>
              <w:tabs>
                <w:tab w:val="left" w:pos="2184"/>
              </w:tabs>
              <w:jc w:val="center"/>
              <w:rPr>
                <w:sz w:val="14"/>
                <w:szCs w:val="14"/>
              </w:rPr>
            </w:pPr>
            <w:r w:rsidRPr="00125CCC">
              <w:rPr>
                <w:sz w:val="14"/>
                <w:szCs w:val="14"/>
              </w:rPr>
              <w:t>10%</w:t>
            </w:r>
          </w:p>
        </w:tc>
        <w:tc>
          <w:tcPr>
            <w:tcW w:w="792" w:type="pct"/>
            <w:tcBorders>
              <w:bottom w:val="single" w:sz="4" w:space="0" w:color="auto"/>
            </w:tcBorders>
            <w:shd w:val="clear" w:color="auto" w:fill="auto"/>
          </w:tcPr>
          <w:p w14:paraId="1F2140E9" w14:textId="77777777" w:rsidR="007559E2" w:rsidRPr="00125CCC" w:rsidRDefault="007559E2" w:rsidP="00E12F74">
            <w:pPr>
              <w:tabs>
                <w:tab w:val="left" w:pos="2184"/>
              </w:tabs>
              <w:jc w:val="center"/>
              <w:rPr>
                <w:sz w:val="4"/>
                <w:szCs w:val="4"/>
              </w:rPr>
            </w:pPr>
          </w:p>
          <w:p w14:paraId="1F2140EA" w14:textId="77777777" w:rsidR="007559E2" w:rsidRPr="004F577D" w:rsidRDefault="007559E2" w:rsidP="004F577D">
            <w:pPr>
              <w:tabs>
                <w:tab w:val="left" w:pos="2184"/>
              </w:tabs>
              <w:jc w:val="center"/>
              <w:rPr>
                <w:sz w:val="14"/>
                <w:szCs w:val="14"/>
              </w:rPr>
            </w:pPr>
            <w:r>
              <w:rPr>
                <w:sz w:val="14"/>
                <w:szCs w:val="14"/>
              </w:rPr>
              <w:t>65</w:t>
            </w:r>
            <w:r w:rsidRPr="00125CCC">
              <w:rPr>
                <w:sz w:val="14"/>
                <w:szCs w:val="14"/>
              </w:rPr>
              <w:t>%</w:t>
            </w:r>
          </w:p>
        </w:tc>
        <w:tc>
          <w:tcPr>
            <w:tcW w:w="647" w:type="pct"/>
            <w:tcBorders>
              <w:bottom w:val="single" w:sz="4" w:space="0" w:color="auto"/>
            </w:tcBorders>
            <w:shd w:val="clear" w:color="auto" w:fill="auto"/>
          </w:tcPr>
          <w:p w14:paraId="1F2140EB" w14:textId="77777777" w:rsidR="007559E2" w:rsidRPr="00125CCC" w:rsidRDefault="007559E2" w:rsidP="00E12F74">
            <w:pPr>
              <w:tabs>
                <w:tab w:val="left" w:pos="2184"/>
              </w:tabs>
              <w:jc w:val="center"/>
              <w:rPr>
                <w:sz w:val="4"/>
                <w:szCs w:val="4"/>
              </w:rPr>
            </w:pPr>
          </w:p>
          <w:p w14:paraId="1F2140EC" w14:textId="77777777" w:rsidR="007559E2" w:rsidRPr="004F577D" w:rsidRDefault="007559E2" w:rsidP="004F577D">
            <w:pPr>
              <w:tabs>
                <w:tab w:val="left" w:pos="2184"/>
              </w:tabs>
              <w:jc w:val="center"/>
              <w:rPr>
                <w:sz w:val="14"/>
                <w:szCs w:val="14"/>
              </w:rPr>
            </w:pPr>
            <w:r w:rsidRPr="00125CCC">
              <w:rPr>
                <w:sz w:val="14"/>
                <w:szCs w:val="14"/>
              </w:rPr>
              <w:t>20%</w:t>
            </w:r>
          </w:p>
        </w:tc>
        <w:tc>
          <w:tcPr>
            <w:tcW w:w="720" w:type="pct"/>
            <w:tcBorders>
              <w:bottom w:val="single" w:sz="4" w:space="0" w:color="auto"/>
            </w:tcBorders>
            <w:shd w:val="clear" w:color="auto" w:fill="auto"/>
            <w:vAlign w:val="bottom"/>
          </w:tcPr>
          <w:p w14:paraId="1F2140ED" w14:textId="77777777" w:rsidR="007559E2" w:rsidRPr="00125CCC" w:rsidRDefault="007559E2" w:rsidP="00705637">
            <w:pPr>
              <w:tabs>
                <w:tab w:val="left" w:pos="2184"/>
              </w:tabs>
              <w:jc w:val="center"/>
              <w:rPr>
                <w:sz w:val="14"/>
                <w:szCs w:val="14"/>
              </w:rPr>
            </w:pPr>
            <w:r w:rsidRPr="00125CCC">
              <w:rPr>
                <w:sz w:val="14"/>
                <w:szCs w:val="14"/>
              </w:rPr>
              <w:t>5%</w:t>
            </w:r>
          </w:p>
        </w:tc>
        <w:tc>
          <w:tcPr>
            <w:tcW w:w="648" w:type="pct"/>
            <w:tcBorders>
              <w:bottom w:val="single" w:sz="4" w:space="0" w:color="auto"/>
            </w:tcBorders>
            <w:shd w:val="clear" w:color="auto" w:fill="auto"/>
          </w:tcPr>
          <w:p w14:paraId="1F2140EE" w14:textId="77777777" w:rsidR="007559E2" w:rsidRPr="00125CCC" w:rsidRDefault="007559E2" w:rsidP="00E12F74">
            <w:pPr>
              <w:tabs>
                <w:tab w:val="left" w:pos="2184"/>
              </w:tabs>
              <w:jc w:val="center"/>
              <w:rPr>
                <w:sz w:val="14"/>
                <w:szCs w:val="14"/>
              </w:rPr>
            </w:pPr>
          </w:p>
        </w:tc>
        <w:tc>
          <w:tcPr>
            <w:tcW w:w="757" w:type="pct"/>
            <w:tcBorders>
              <w:bottom w:val="single" w:sz="4" w:space="0" w:color="auto"/>
            </w:tcBorders>
            <w:shd w:val="clear" w:color="auto" w:fill="auto"/>
          </w:tcPr>
          <w:p w14:paraId="1F2140EF" w14:textId="77777777" w:rsidR="007559E2" w:rsidRPr="00125CCC" w:rsidRDefault="007559E2" w:rsidP="00E12F74">
            <w:pPr>
              <w:tabs>
                <w:tab w:val="left" w:pos="2184"/>
              </w:tabs>
              <w:jc w:val="center"/>
              <w:rPr>
                <w:sz w:val="4"/>
                <w:szCs w:val="4"/>
              </w:rPr>
            </w:pPr>
          </w:p>
          <w:p w14:paraId="1F2140F0" w14:textId="77777777" w:rsidR="007559E2" w:rsidRPr="004F577D" w:rsidRDefault="007559E2" w:rsidP="004F577D">
            <w:pPr>
              <w:tabs>
                <w:tab w:val="left" w:pos="2184"/>
              </w:tabs>
              <w:jc w:val="center"/>
              <w:rPr>
                <w:sz w:val="12"/>
                <w:szCs w:val="12"/>
              </w:rPr>
            </w:pPr>
            <w:r w:rsidRPr="00125CCC">
              <w:rPr>
                <w:sz w:val="14"/>
                <w:szCs w:val="14"/>
              </w:rPr>
              <w:t>41-54 ára</w:t>
            </w:r>
          </w:p>
        </w:tc>
      </w:tr>
      <w:tr w:rsidR="007559E2" w:rsidRPr="00125CCC" w14:paraId="1F2140FE" w14:textId="77777777" w:rsidTr="007559E2">
        <w:trPr>
          <w:trHeight w:val="57"/>
        </w:trPr>
        <w:tc>
          <w:tcPr>
            <w:tcW w:w="782" w:type="pct"/>
            <w:tcBorders>
              <w:bottom w:val="single" w:sz="4" w:space="0" w:color="auto"/>
            </w:tcBorders>
            <w:shd w:val="clear" w:color="auto" w:fill="auto"/>
          </w:tcPr>
          <w:p w14:paraId="1F2140F2" w14:textId="77777777" w:rsidR="007559E2" w:rsidRPr="00125CCC" w:rsidRDefault="007559E2" w:rsidP="00705637">
            <w:pPr>
              <w:tabs>
                <w:tab w:val="left" w:pos="2184"/>
              </w:tabs>
              <w:rPr>
                <w:sz w:val="4"/>
                <w:szCs w:val="4"/>
              </w:rPr>
            </w:pPr>
          </w:p>
          <w:p w14:paraId="1F2140F3" w14:textId="77777777" w:rsidR="007559E2" w:rsidRPr="004F577D" w:rsidRDefault="007559E2" w:rsidP="00705637">
            <w:pPr>
              <w:tabs>
                <w:tab w:val="left" w:pos="2184"/>
              </w:tabs>
              <w:rPr>
                <w:sz w:val="14"/>
                <w:szCs w:val="14"/>
              </w:rPr>
            </w:pPr>
            <w:r w:rsidRPr="00125CCC">
              <w:rPr>
                <w:sz w:val="14"/>
                <w:szCs w:val="14"/>
              </w:rPr>
              <w:t>Lífeyrisauki 4</w:t>
            </w:r>
          </w:p>
        </w:tc>
        <w:tc>
          <w:tcPr>
            <w:tcW w:w="654" w:type="pct"/>
            <w:tcBorders>
              <w:bottom w:val="single" w:sz="4" w:space="0" w:color="auto"/>
            </w:tcBorders>
            <w:shd w:val="clear" w:color="auto" w:fill="auto"/>
          </w:tcPr>
          <w:p w14:paraId="1F2140F4" w14:textId="77777777" w:rsidR="007559E2" w:rsidRPr="00125CCC" w:rsidRDefault="007559E2" w:rsidP="00705637">
            <w:pPr>
              <w:tabs>
                <w:tab w:val="left" w:pos="2184"/>
              </w:tabs>
              <w:jc w:val="center"/>
              <w:rPr>
                <w:sz w:val="4"/>
                <w:szCs w:val="4"/>
              </w:rPr>
            </w:pPr>
          </w:p>
          <w:p w14:paraId="1F2140F5" w14:textId="77777777" w:rsidR="007559E2" w:rsidRPr="004F577D" w:rsidRDefault="007559E2" w:rsidP="00705637">
            <w:pPr>
              <w:tabs>
                <w:tab w:val="left" w:pos="2184"/>
              </w:tabs>
              <w:jc w:val="center"/>
              <w:rPr>
                <w:sz w:val="14"/>
                <w:szCs w:val="14"/>
              </w:rPr>
            </w:pPr>
            <w:r w:rsidRPr="00125CCC">
              <w:rPr>
                <w:sz w:val="14"/>
                <w:szCs w:val="14"/>
              </w:rPr>
              <w:t>10%</w:t>
            </w:r>
          </w:p>
        </w:tc>
        <w:tc>
          <w:tcPr>
            <w:tcW w:w="792" w:type="pct"/>
            <w:tcBorders>
              <w:bottom w:val="single" w:sz="4" w:space="0" w:color="auto"/>
            </w:tcBorders>
            <w:shd w:val="clear" w:color="auto" w:fill="auto"/>
          </w:tcPr>
          <w:p w14:paraId="1F2140F6" w14:textId="77777777" w:rsidR="007559E2" w:rsidRPr="00125CCC" w:rsidRDefault="007559E2" w:rsidP="00705637">
            <w:pPr>
              <w:tabs>
                <w:tab w:val="left" w:pos="2184"/>
              </w:tabs>
              <w:jc w:val="center"/>
              <w:rPr>
                <w:sz w:val="4"/>
                <w:szCs w:val="4"/>
              </w:rPr>
            </w:pPr>
          </w:p>
          <w:p w14:paraId="1F2140F7" w14:textId="77777777" w:rsidR="007559E2" w:rsidRPr="004F577D" w:rsidRDefault="007559E2" w:rsidP="00705637">
            <w:pPr>
              <w:tabs>
                <w:tab w:val="left" w:pos="2184"/>
              </w:tabs>
              <w:jc w:val="center"/>
              <w:rPr>
                <w:sz w:val="14"/>
                <w:szCs w:val="14"/>
              </w:rPr>
            </w:pPr>
            <w:r w:rsidRPr="00125CCC">
              <w:rPr>
                <w:sz w:val="14"/>
                <w:szCs w:val="14"/>
              </w:rPr>
              <w:t>8</w:t>
            </w:r>
            <w:r>
              <w:rPr>
                <w:sz w:val="14"/>
                <w:szCs w:val="14"/>
              </w:rPr>
              <w:t>3</w:t>
            </w:r>
            <w:r w:rsidRPr="00125CCC">
              <w:rPr>
                <w:sz w:val="14"/>
                <w:szCs w:val="14"/>
              </w:rPr>
              <w:t>%</w:t>
            </w:r>
          </w:p>
        </w:tc>
        <w:tc>
          <w:tcPr>
            <w:tcW w:w="647" w:type="pct"/>
            <w:tcBorders>
              <w:bottom w:val="single" w:sz="4" w:space="0" w:color="auto"/>
            </w:tcBorders>
            <w:shd w:val="clear" w:color="auto" w:fill="auto"/>
          </w:tcPr>
          <w:p w14:paraId="1F2140F8" w14:textId="77777777" w:rsidR="007559E2" w:rsidRPr="00125CCC" w:rsidRDefault="007559E2" w:rsidP="00705637">
            <w:pPr>
              <w:tabs>
                <w:tab w:val="left" w:pos="2184"/>
              </w:tabs>
              <w:jc w:val="center"/>
              <w:rPr>
                <w:sz w:val="4"/>
                <w:szCs w:val="4"/>
              </w:rPr>
            </w:pPr>
          </w:p>
          <w:p w14:paraId="1F2140F9" w14:textId="77777777" w:rsidR="007559E2" w:rsidRPr="004F577D" w:rsidRDefault="007559E2" w:rsidP="00705637">
            <w:pPr>
              <w:tabs>
                <w:tab w:val="left" w:pos="2184"/>
              </w:tabs>
              <w:jc w:val="center"/>
              <w:rPr>
                <w:sz w:val="14"/>
                <w:szCs w:val="14"/>
              </w:rPr>
            </w:pPr>
            <w:r w:rsidRPr="00125CCC">
              <w:rPr>
                <w:sz w:val="14"/>
                <w:szCs w:val="14"/>
              </w:rPr>
              <w:t>5%</w:t>
            </w:r>
          </w:p>
        </w:tc>
        <w:tc>
          <w:tcPr>
            <w:tcW w:w="720" w:type="pct"/>
            <w:tcBorders>
              <w:bottom w:val="single" w:sz="4" w:space="0" w:color="auto"/>
            </w:tcBorders>
            <w:shd w:val="clear" w:color="auto" w:fill="auto"/>
            <w:vAlign w:val="bottom"/>
          </w:tcPr>
          <w:p w14:paraId="1F2140FA" w14:textId="77777777" w:rsidR="007559E2" w:rsidRPr="00125CCC" w:rsidRDefault="007559E2" w:rsidP="00705637">
            <w:pPr>
              <w:tabs>
                <w:tab w:val="left" w:pos="2184"/>
              </w:tabs>
              <w:jc w:val="center"/>
              <w:rPr>
                <w:sz w:val="14"/>
                <w:szCs w:val="14"/>
              </w:rPr>
            </w:pPr>
            <w:r>
              <w:rPr>
                <w:sz w:val="14"/>
                <w:szCs w:val="14"/>
              </w:rPr>
              <w:t>2</w:t>
            </w:r>
            <w:r w:rsidRPr="00125CCC">
              <w:rPr>
                <w:sz w:val="14"/>
                <w:szCs w:val="14"/>
              </w:rPr>
              <w:t>%</w:t>
            </w:r>
          </w:p>
        </w:tc>
        <w:tc>
          <w:tcPr>
            <w:tcW w:w="648" w:type="pct"/>
            <w:tcBorders>
              <w:bottom w:val="single" w:sz="4" w:space="0" w:color="auto"/>
            </w:tcBorders>
            <w:shd w:val="clear" w:color="auto" w:fill="auto"/>
          </w:tcPr>
          <w:p w14:paraId="1F2140FB" w14:textId="77777777" w:rsidR="007559E2" w:rsidRPr="00125CCC" w:rsidRDefault="007559E2" w:rsidP="00705637">
            <w:pPr>
              <w:tabs>
                <w:tab w:val="left" w:pos="2184"/>
              </w:tabs>
              <w:jc w:val="center"/>
              <w:rPr>
                <w:sz w:val="14"/>
                <w:szCs w:val="14"/>
              </w:rPr>
            </w:pPr>
          </w:p>
        </w:tc>
        <w:tc>
          <w:tcPr>
            <w:tcW w:w="757" w:type="pct"/>
            <w:tcBorders>
              <w:bottom w:val="single" w:sz="4" w:space="0" w:color="auto"/>
            </w:tcBorders>
            <w:shd w:val="clear" w:color="auto" w:fill="auto"/>
          </w:tcPr>
          <w:p w14:paraId="1F2140FC" w14:textId="77777777" w:rsidR="007559E2" w:rsidRPr="00125CCC" w:rsidRDefault="007559E2" w:rsidP="00705637">
            <w:pPr>
              <w:tabs>
                <w:tab w:val="left" w:pos="2184"/>
              </w:tabs>
              <w:jc w:val="center"/>
              <w:rPr>
                <w:sz w:val="4"/>
                <w:szCs w:val="4"/>
              </w:rPr>
            </w:pPr>
          </w:p>
          <w:p w14:paraId="1F2140FD" w14:textId="77777777" w:rsidR="007559E2" w:rsidRPr="004F577D" w:rsidRDefault="007559E2" w:rsidP="00705637">
            <w:pPr>
              <w:tabs>
                <w:tab w:val="left" w:pos="2184"/>
              </w:tabs>
              <w:jc w:val="center"/>
              <w:rPr>
                <w:sz w:val="14"/>
                <w:szCs w:val="12"/>
              </w:rPr>
            </w:pPr>
            <w:r w:rsidRPr="00125CCC">
              <w:rPr>
                <w:sz w:val="14"/>
                <w:szCs w:val="14"/>
              </w:rPr>
              <w:t>55 ára og eldri</w:t>
            </w:r>
          </w:p>
        </w:tc>
      </w:tr>
      <w:tr w:rsidR="007559E2" w:rsidRPr="00125CCC" w14:paraId="1F214109" w14:textId="77777777" w:rsidTr="007559E2">
        <w:trPr>
          <w:trHeight w:val="57"/>
        </w:trPr>
        <w:tc>
          <w:tcPr>
            <w:tcW w:w="782" w:type="pct"/>
            <w:tcBorders>
              <w:bottom w:val="single" w:sz="4" w:space="0" w:color="auto"/>
            </w:tcBorders>
            <w:shd w:val="clear" w:color="auto" w:fill="auto"/>
          </w:tcPr>
          <w:p w14:paraId="1F2140FF" w14:textId="77777777" w:rsidR="007559E2" w:rsidRPr="00125CCC" w:rsidRDefault="007559E2" w:rsidP="00705637">
            <w:pPr>
              <w:tabs>
                <w:tab w:val="left" w:pos="2184"/>
              </w:tabs>
              <w:rPr>
                <w:sz w:val="4"/>
                <w:szCs w:val="4"/>
              </w:rPr>
            </w:pPr>
          </w:p>
          <w:p w14:paraId="1F214100" w14:textId="77777777" w:rsidR="007559E2" w:rsidRPr="00125CCC" w:rsidRDefault="007559E2" w:rsidP="00705637">
            <w:pPr>
              <w:tabs>
                <w:tab w:val="left" w:pos="2184"/>
              </w:tabs>
              <w:rPr>
                <w:sz w:val="14"/>
                <w:szCs w:val="14"/>
              </w:rPr>
            </w:pPr>
            <w:r>
              <w:rPr>
                <w:sz w:val="14"/>
                <w:szCs w:val="14"/>
              </w:rPr>
              <w:t>Lífeyrisauki 5</w:t>
            </w:r>
            <w:r w:rsidRPr="0053702C">
              <w:rPr>
                <w:sz w:val="14"/>
                <w:szCs w:val="14"/>
                <w:vertAlign w:val="superscript"/>
              </w:rPr>
              <w:t>2</w:t>
            </w:r>
          </w:p>
        </w:tc>
        <w:tc>
          <w:tcPr>
            <w:tcW w:w="654" w:type="pct"/>
            <w:tcBorders>
              <w:bottom w:val="single" w:sz="4" w:space="0" w:color="auto"/>
            </w:tcBorders>
            <w:shd w:val="clear" w:color="auto" w:fill="auto"/>
          </w:tcPr>
          <w:p w14:paraId="1F214101" w14:textId="77777777" w:rsidR="007559E2" w:rsidRPr="00125CCC" w:rsidRDefault="007559E2" w:rsidP="00705637">
            <w:pPr>
              <w:tabs>
                <w:tab w:val="left" w:pos="2184"/>
              </w:tabs>
              <w:jc w:val="center"/>
              <w:rPr>
                <w:sz w:val="14"/>
                <w:szCs w:val="14"/>
              </w:rPr>
            </w:pPr>
          </w:p>
        </w:tc>
        <w:tc>
          <w:tcPr>
            <w:tcW w:w="792" w:type="pct"/>
            <w:tcBorders>
              <w:bottom w:val="single" w:sz="4" w:space="0" w:color="auto"/>
            </w:tcBorders>
            <w:shd w:val="clear" w:color="auto" w:fill="auto"/>
          </w:tcPr>
          <w:p w14:paraId="1F214102" w14:textId="77777777" w:rsidR="007559E2" w:rsidRPr="00125CCC" w:rsidRDefault="007559E2" w:rsidP="00705637">
            <w:pPr>
              <w:tabs>
                <w:tab w:val="left" w:pos="2184"/>
              </w:tabs>
              <w:jc w:val="center"/>
              <w:rPr>
                <w:sz w:val="14"/>
                <w:szCs w:val="14"/>
              </w:rPr>
            </w:pPr>
          </w:p>
        </w:tc>
        <w:tc>
          <w:tcPr>
            <w:tcW w:w="647" w:type="pct"/>
            <w:tcBorders>
              <w:bottom w:val="single" w:sz="4" w:space="0" w:color="auto"/>
            </w:tcBorders>
            <w:shd w:val="clear" w:color="auto" w:fill="auto"/>
          </w:tcPr>
          <w:p w14:paraId="1F214103" w14:textId="77777777" w:rsidR="007559E2" w:rsidRPr="00125CCC" w:rsidRDefault="007559E2" w:rsidP="00705637">
            <w:pPr>
              <w:tabs>
                <w:tab w:val="left" w:pos="2184"/>
              </w:tabs>
              <w:jc w:val="center"/>
              <w:rPr>
                <w:sz w:val="14"/>
                <w:szCs w:val="14"/>
              </w:rPr>
            </w:pPr>
          </w:p>
        </w:tc>
        <w:tc>
          <w:tcPr>
            <w:tcW w:w="720" w:type="pct"/>
            <w:tcBorders>
              <w:bottom w:val="single" w:sz="4" w:space="0" w:color="auto"/>
            </w:tcBorders>
            <w:shd w:val="clear" w:color="auto" w:fill="auto"/>
          </w:tcPr>
          <w:p w14:paraId="1F214104" w14:textId="77777777" w:rsidR="007559E2" w:rsidRPr="00125CCC" w:rsidRDefault="007559E2" w:rsidP="00705637">
            <w:pPr>
              <w:tabs>
                <w:tab w:val="left" w:pos="2184"/>
              </w:tabs>
              <w:jc w:val="center"/>
              <w:rPr>
                <w:sz w:val="14"/>
                <w:szCs w:val="14"/>
              </w:rPr>
            </w:pPr>
          </w:p>
        </w:tc>
        <w:tc>
          <w:tcPr>
            <w:tcW w:w="648" w:type="pct"/>
            <w:tcBorders>
              <w:bottom w:val="single" w:sz="4" w:space="0" w:color="auto"/>
            </w:tcBorders>
            <w:shd w:val="clear" w:color="auto" w:fill="auto"/>
          </w:tcPr>
          <w:p w14:paraId="1F214105" w14:textId="77777777" w:rsidR="007559E2" w:rsidRPr="00125CCC" w:rsidRDefault="007559E2" w:rsidP="00705637">
            <w:pPr>
              <w:tabs>
                <w:tab w:val="left" w:pos="2184"/>
              </w:tabs>
              <w:jc w:val="center"/>
              <w:rPr>
                <w:sz w:val="4"/>
                <w:szCs w:val="4"/>
              </w:rPr>
            </w:pPr>
          </w:p>
          <w:p w14:paraId="1F214106" w14:textId="77777777" w:rsidR="007559E2" w:rsidRPr="004F577D" w:rsidRDefault="007559E2" w:rsidP="00705637">
            <w:pPr>
              <w:tabs>
                <w:tab w:val="left" w:pos="2184"/>
              </w:tabs>
              <w:jc w:val="center"/>
              <w:rPr>
                <w:sz w:val="14"/>
                <w:szCs w:val="14"/>
              </w:rPr>
            </w:pPr>
            <w:r w:rsidRPr="00125CCC">
              <w:rPr>
                <w:sz w:val="14"/>
                <w:szCs w:val="14"/>
              </w:rPr>
              <w:t>100%</w:t>
            </w:r>
          </w:p>
        </w:tc>
        <w:tc>
          <w:tcPr>
            <w:tcW w:w="757" w:type="pct"/>
            <w:tcBorders>
              <w:bottom w:val="single" w:sz="4" w:space="0" w:color="auto"/>
            </w:tcBorders>
            <w:shd w:val="clear" w:color="auto" w:fill="auto"/>
          </w:tcPr>
          <w:p w14:paraId="1F214107" w14:textId="77777777" w:rsidR="007559E2" w:rsidRPr="00125CCC" w:rsidRDefault="007559E2" w:rsidP="00705637">
            <w:pPr>
              <w:tabs>
                <w:tab w:val="left" w:pos="2184"/>
              </w:tabs>
              <w:jc w:val="center"/>
              <w:rPr>
                <w:sz w:val="4"/>
                <w:szCs w:val="4"/>
              </w:rPr>
            </w:pPr>
          </w:p>
          <w:p w14:paraId="1F214108" w14:textId="77777777" w:rsidR="007559E2" w:rsidRPr="004F577D" w:rsidRDefault="007559E2" w:rsidP="00705637">
            <w:pPr>
              <w:tabs>
                <w:tab w:val="left" w:pos="2184"/>
              </w:tabs>
              <w:jc w:val="center"/>
              <w:rPr>
                <w:sz w:val="14"/>
                <w:szCs w:val="14"/>
              </w:rPr>
            </w:pPr>
            <w:r w:rsidRPr="00125CCC">
              <w:rPr>
                <w:sz w:val="14"/>
                <w:szCs w:val="14"/>
              </w:rPr>
              <w:t>Lífeyrisþegar</w:t>
            </w:r>
          </w:p>
        </w:tc>
      </w:tr>
      <w:tr w:rsidR="007559E2" w:rsidRPr="00125CCC" w14:paraId="1F214113" w14:textId="77777777" w:rsidTr="007559E2">
        <w:trPr>
          <w:trHeight w:val="57"/>
        </w:trPr>
        <w:tc>
          <w:tcPr>
            <w:tcW w:w="782" w:type="pct"/>
            <w:tcBorders>
              <w:bottom w:val="single" w:sz="4" w:space="0" w:color="auto"/>
            </w:tcBorders>
            <w:shd w:val="clear" w:color="auto" w:fill="auto"/>
          </w:tcPr>
          <w:p w14:paraId="1F21410A" w14:textId="77777777" w:rsidR="007559E2" w:rsidRPr="00125CCC" w:rsidRDefault="007559E2" w:rsidP="00705637">
            <w:pPr>
              <w:tabs>
                <w:tab w:val="left" w:pos="2184"/>
              </w:tabs>
              <w:rPr>
                <w:sz w:val="4"/>
                <w:szCs w:val="4"/>
              </w:rPr>
            </w:pPr>
          </w:p>
          <w:p w14:paraId="1F21410B" w14:textId="77777777" w:rsidR="007559E2" w:rsidRPr="004F577D" w:rsidRDefault="007559E2" w:rsidP="00705637">
            <w:pPr>
              <w:tabs>
                <w:tab w:val="left" w:pos="2184"/>
              </w:tabs>
              <w:rPr>
                <w:sz w:val="14"/>
                <w:szCs w:val="14"/>
              </w:rPr>
            </w:pPr>
            <w:r w:rsidRPr="00125CCC">
              <w:rPr>
                <w:sz w:val="14"/>
                <w:szCs w:val="14"/>
              </w:rPr>
              <w:t xml:space="preserve">Innl. skbr. </w:t>
            </w:r>
          </w:p>
        </w:tc>
        <w:tc>
          <w:tcPr>
            <w:tcW w:w="654" w:type="pct"/>
            <w:tcBorders>
              <w:bottom w:val="single" w:sz="4" w:space="0" w:color="auto"/>
            </w:tcBorders>
            <w:shd w:val="clear" w:color="auto" w:fill="auto"/>
          </w:tcPr>
          <w:p w14:paraId="1F21410C" w14:textId="77777777" w:rsidR="007559E2" w:rsidRPr="00125CCC" w:rsidRDefault="007559E2" w:rsidP="00705637">
            <w:pPr>
              <w:tabs>
                <w:tab w:val="left" w:pos="2184"/>
              </w:tabs>
              <w:jc w:val="center"/>
              <w:rPr>
                <w:sz w:val="4"/>
                <w:szCs w:val="4"/>
              </w:rPr>
            </w:pPr>
          </w:p>
        </w:tc>
        <w:tc>
          <w:tcPr>
            <w:tcW w:w="792" w:type="pct"/>
            <w:tcBorders>
              <w:bottom w:val="single" w:sz="4" w:space="0" w:color="auto"/>
            </w:tcBorders>
            <w:shd w:val="clear" w:color="auto" w:fill="auto"/>
          </w:tcPr>
          <w:p w14:paraId="1F21410D" w14:textId="77777777" w:rsidR="007559E2" w:rsidRPr="00125CCC" w:rsidRDefault="007559E2" w:rsidP="00705637">
            <w:pPr>
              <w:tabs>
                <w:tab w:val="left" w:pos="2184"/>
              </w:tabs>
              <w:jc w:val="center"/>
              <w:rPr>
                <w:sz w:val="4"/>
                <w:szCs w:val="4"/>
              </w:rPr>
            </w:pPr>
          </w:p>
          <w:p w14:paraId="1F21410E" w14:textId="77777777" w:rsidR="007559E2" w:rsidRPr="004F577D" w:rsidRDefault="007559E2" w:rsidP="00705637">
            <w:pPr>
              <w:tabs>
                <w:tab w:val="left" w:pos="2184"/>
              </w:tabs>
              <w:jc w:val="center"/>
              <w:rPr>
                <w:sz w:val="14"/>
                <w:szCs w:val="14"/>
              </w:rPr>
            </w:pPr>
            <w:r w:rsidRPr="00125CCC">
              <w:rPr>
                <w:sz w:val="14"/>
                <w:szCs w:val="14"/>
              </w:rPr>
              <w:t>100%</w:t>
            </w:r>
          </w:p>
        </w:tc>
        <w:tc>
          <w:tcPr>
            <w:tcW w:w="647" w:type="pct"/>
            <w:tcBorders>
              <w:bottom w:val="single" w:sz="4" w:space="0" w:color="auto"/>
            </w:tcBorders>
            <w:shd w:val="clear" w:color="auto" w:fill="auto"/>
          </w:tcPr>
          <w:p w14:paraId="1F21410F" w14:textId="77777777" w:rsidR="007559E2" w:rsidRPr="00125CCC" w:rsidRDefault="007559E2" w:rsidP="00705637">
            <w:pPr>
              <w:tabs>
                <w:tab w:val="left" w:pos="2184"/>
              </w:tabs>
              <w:jc w:val="center"/>
              <w:rPr>
                <w:sz w:val="14"/>
                <w:szCs w:val="14"/>
              </w:rPr>
            </w:pPr>
          </w:p>
        </w:tc>
        <w:tc>
          <w:tcPr>
            <w:tcW w:w="720" w:type="pct"/>
            <w:tcBorders>
              <w:bottom w:val="single" w:sz="4" w:space="0" w:color="auto"/>
            </w:tcBorders>
            <w:shd w:val="clear" w:color="auto" w:fill="auto"/>
          </w:tcPr>
          <w:p w14:paraId="1F214110" w14:textId="77777777" w:rsidR="007559E2" w:rsidRPr="00125CCC" w:rsidRDefault="007559E2" w:rsidP="00705637">
            <w:pPr>
              <w:tabs>
                <w:tab w:val="left" w:pos="2184"/>
              </w:tabs>
              <w:jc w:val="center"/>
              <w:rPr>
                <w:sz w:val="14"/>
                <w:szCs w:val="14"/>
              </w:rPr>
            </w:pPr>
          </w:p>
        </w:tc>
        <w:tc>
          <w:tcPr>
            <w:tcW w:w="648" w:type="pct"/>
            <w:tcBorders>
              <w:bottom w:val="single" w:sz="4" w:space="0" w:color="auto"/>
            </w:tcBorders>
            <w:shd w:val="clear" w:color="auto" w:fill="auto"/>
          </w:tcPr>
          <w:p w14:paraId="1F214111" w14:textId="77777777" w:rsidR="007559E2" w:rsidRPr="00125CCC" w:rsidRDefault="007559E2" w:rsidP="00705637">
            <w:pPr>
              <w:tabs>
                <w:tab w:val="left" w:pos="2184"/>
              </w:tabs>
              <w:jc w:val="center"/>
              <w:rPr>
                <w:sz w:val="14"/>
                <w:szCs w:val="14"/>
              </w:rPr>
            </w:pPr>
          </w:p>
        </w:tc>
        <w:tc>
          <w:tcPr>
            <w:tcW w:w="757" w:type="pct"/>
            <w:tcBorders>
              <w:bottom w:val="single" w:sz="4" w:space="0" w:color="auto"/>
            </w:tcBorders>
            <w:shd w:val="clear" w:color="auto" w:fill="auto"/>
          </w:tcPr>
          <w:p w14:paraId="1F214112" w14:textId="77777777" w:rsidR="007559E2" w:rsidRPr="00125CCC" w:rsidRDefault="007559E2" w:rsidP="00705637">
            <w:pPr>
              <w:tabs>
                <w:tab w:val="left" w:pos="2184"/>
              </w:tabs>
              <w:jc w:val="center"/>
              <w:rPr>
                <w:sz w:val="14"/>
                <w:szCs w:val="14"/>
              </w:rPr>
            </w:pPr>
          </w:p>
        </w:tc>
      </w:tr>
      <w:tr w:rsidR="007559E2" w:rsidRPr="00125CCC" w14:paraId="1F21411E" w14:textId="77777777" w:rsidTr="007559E2">
        <w:trPr>
          <w:trHeight w:val="57"/>
        </w:trPr>
        <w:tc>
          <w:tcPr>
            <w:tcW w:w="782" w:type="pct"/>
            <w:tcBorders>
              <w:bottom w:val="single" w:sz="4" w:space="0" w:color="auto"/>
            </w:tcBorders>
            <w:shd w:val="clear" w:color="auto" w:fill="auto"/>
          </w:tcPr>
          <w:p w14:paraId="1F214114" w14:textId="77777777" w:rsidR="007559E2" w:rsidRPr="00125CCC" w:rsidRDefault="007559E2" w:rsidP="00705637">
            <w:pPr>
              <w:tabs>
                <w:tab w:val="left" w:pos="2184"/>
              </w:tabs>
              <w:rPr>
                <w:sz w:val="4"/>
                <w:szCs w:val="4"/>
              </w:rPr>
            </w:pPr>
          </w:p>
          <w:p w14:paraId="1F214115" w14:textId="77777777" w:rsidR="007559E2" w:rsidRPr="004F577D" w:rsidRDefault="007559E2" w:rsidP="00705637">
            <w:pPr>
              <w:tabs>
                <w:tab w:val="left" w:pos="2184"/>
              </w:tabs>
              <w:rPr>
                <w:sz w:val="14"/>
                <w:szCs w:val="14"/>
              </w:rPr>
            </w:pPr>
            <w:r w:rsidRPr="00125CCC">
              <w:rPr>
                <w:sz w:val="14"/>
                <w:szCs w:val="14"/>
              </w:rPr>
              <w:t xml:space="preserve">Erl. </w:t>
            </w:r>
            <w:r>
              <w:rPr>
                <w:sz w:val="14"/>
                <w:szCs w:val="14"/>
              </w:rPr>
              <w:t>verðbr.</w:t>
            </w:r>
          </w:p>
        </w:tc>
        <w:tc>
          <w:tcPr>
            <w:tcW w:w="654" w:type="pct"/>
            <w:tcBorders>
              <w:bottom w:val="single" w:sz="4" w:space="0" w:color="auto"/>
            </w:tcBorders>
            <w:shd w:val="clear" w:color="auto" w:fill="auto"/>
          </w:tcPr>
          <w:p w14:paraId="1F214116" w14:textId="77777777" w:rsidR="007559E2" w:rsidRPr="00125CCC" w:rsidRDefault="007559E2" w:rsidP="00705637">
            <w:pPr>
              <w:tabs>
                <w:tab w:val="left" w:pos="2184"/>
              </w:tabs>
              <w:jc w:val="center"/>
              <w:rPr>
                <w:sz w:val="14"/>
                <w:szCs w:val="14"/>
              </w:rPr>
            </w:pPr>
          </w:p>
        </w:tc>
        <w:tc>
          <w:tcPr>
            <w:tcW w:w="792" w:type="pct"/>
            <w:tcBorders>
              <w:bottom w:val="single" w:sz="4" w:space="0" w:color="auto"/>
            </w:tcBorders>
            <w:shd w:val="clear" w:color="auto" w:fill="auto"/>
          </w:tcPr>
          <w:p w14:paraId="1F214117" w14:textId="77777777" w:rsidR="007559E2" w:rsidRPr="00125CCC" w:rsidRDefault="007559E2" w:rsidP="00705637">
            <w:pPr>
              <w:tabs>
                <w:tab w:val="left" w:pos="2184"/>
              </w:tabs>
              <w:jc w:val="center"/>
              <w:rPr>
                <w:sz w:val="14"/>
                <w:szCs w:val="14"/>
              </w:rPr>
            </w:pPr>
          </w:p>
        </w:tc>
        <w:tc>
          <w:tcPr>
            <w:tcW w:w="647" w:type="pct"/>
            <w:tcBorders>
              <w:bottom w:val="single" w:sz="4" w:space="0" w:color="auto"/>
            </w:tcBorders>
            <w:shd w:val="clear" w:color="auto" w:fill="auto"/>
          </w:tcPr>
          <w:p w14:paraId="1F214118" w14:textId="77777777" w:rsidR="007559E2" w:rsidRPr="00125CCC" w:rsidRDefault="007559E2" w:rsidP="00705637">
            <w:pPr>
              <w:tabs>
                <w:tab w:val="left" w:pos="2184"/>
              </w:tabs>
              <w:jc w:val="center"/>
              <w:rPr>
                <w:sz w:val="4"/>
                <w:szCs w:val="4"/>
              </w:rPr>
            </w:pPr>
          </w:p>
          <w:p w14:paraId="1F214119" w14:textId="77777777" w:rsidR="007559E2" w:rsidRPr="004F577D" w:rsidRDefault="007559E2" w:rsidP="00705637">
            <w:pPr>
              <w:tabs>
                <w:tab w:val="left" w:pos="2184"/>
              </w:tabs>
              <w:jc w:val="center"/>
              <w:rPr>
                <w:sz w:val="14"/>
                <w:szCs w:val="14"/>
              </w:rPr>
            </w:pPr>
            <w:r w:rsidRPr="00125CCC">
              <w:rPr>
                <w:sz w:val="14"/>
                <w:szCs w:val="14"/>
              </w:rPr>
              <w:t>60%</w:t>
            </w:r>
          </w:p>
        </w:tc>
        <w:tc>
          <w:tcPr>
            <w:tcW w:w="720" w:type="pct"/>
            <w:tcBorders>
              <w:bottom w:val="single" w:sz="4" w:space="0" w:color="auto"/>
            </w:tcBorders>
            <w:shd w:val="clear" w:color="auto" w:fill="auto"/>
          </w:tcPr>
          <w:p w14:paraId="1F21411A" w14:textId="77777777" w:rsidR="007559E2" w:rsidRPr="00125CCC" w:rsidRDefault="007559E2" w:rsidP="00705637">
            <w:pPr>
              <w:tabs>
                <w:tab w:val="left" w:pos="2184"/>
              </w:tabs>
              <w:jc w:val="center"/>
              <w:rPr>
                <w:sz w:val="4"/>
                <w:szCs w:val="4"/>
              </w:rPr>
            </w:pPr>
          </w:p>
          <w:p w14:paraId="1F21411B" w14:textId="77777777" w:rsidR="007559E2" w:rsidRPr="004F577D" w:rsidRDefault="007559E2" w:rsidP="00705637">
            <w:pPr>
              <w:tabs>
                <w:tab w:val="left" w:pos="2184"/>
              </w:tabs>
              <w:jc w:val="center"/>
              <w:rPr>
                <w:sz w:val="14"/>
                <w:szCs w:val="14"/>
              </w:rPr>
            </w:pPr>
            <w:r w:rsidRPr="00125CCC">
              <w:rPr>
                <w:sz w:val="14"/>
                <w:szCs w:val="14"/>
              </w:rPr>
              <w:t>40%</w:t>
            </w:r>
          </w:p>
        </w:tc>
        <w:tc>
          <w:tcPr>
            <w:tcW w:w="648" w:type="pct"/>
            <w:tcBorders>
              <w:bottom w:val="single" w:sz="4" w:space="0" w:color="auto"/>
            </w:tcBorders>
            <w:shd w:val="clear" w:color="auto" w:fill="auto"/>
          </w:tcPr>
          <w:p w14:paraId="1F21411C" w14:textId="77777777" w:rsidR="007559E2" w:rsidRPr="00125CCC" w:rsidRDefault="007559E2" w:rsidP="00705637">
            <w:pPr>
              <w:tabs>
                <w:tab w:val="left" w:pos="2184"/>
              </w:tabs>
              <w:jc w:val="center"/>
              <w:rPr>
                <w:sz w:val="14"/>
                <w:szCs w:val="14"/>
              </w:rPr>
            </w:pPr>
          </w:p>
        </w:tc>
        <w:tc>
          <w:tcPr>
            <w:tcW w:w="757" w:type="pct"/>
            <w:tcBorders>
              <w:bottom w:val="single" w:sz="4" w:space="0" w:color="auto"/>
            </w:tcBorders>
            <w:shd w:val="clear" w:color="auto" w:fill="auto"/>
          </w:tcPr>
          <w:p w14:paraId="1F21411D" w14:textId="77777777" w:rsidR="007559E2" w:rsidRPr="00125CCC" w:rsidRDefault="007559E2" w:rsidP="00705637">
            <w:pPr>
              <w:tabs>
                <w:tab w:val="left" w:pos="2184"/>
              </w:tabs>
              <w:jc w:val="center"/>
              <w:rPr>
                <w:sz w:val="14"/>
                <w:szCs w:val="14"/>
              </w:rPr>
            </w:pPr>
          </w:p>
        </w:tc>
      </w:tr>
      <w:tr w:rsidR="007559E2" w:rsidRPr="00125CCC" w14:paraId="1F214122" w14:textId="77777777" w:rsidTr="007559E2">
        <w:trPr>
          <w:trHeight w:val="57"/>
        </w:trPr>
        <w:tc>
          <w:tcPr>
            <w:tcW w:w="782" w:type="pct"/>
            <w:tcBorders>
              <w:bottom w:val="single" w:sz="4" w:space="0" w:color="auto"/>
            </w:tcBorders>
            <w:shd w:val="clear" w:color="auto" w:fill="auto"/>
          </w:tcPr>
          <w:p w14:paraId="1F21411F" w14:textId="77777777" w:rsidR="007559E2" w:rsidRPr="00125CCC" w:rsidRDefault="007559E2" w:rsidP="00705637">
            <w:pPr>
              <w:tabs>
                <w:tab w:val="left" w:pos="2184"/>
              </w:tabs>
              <w:rPr>
                <w:sz w:val="4"/>
                <w:szCs w:val="4"/>
              </w:rPr>
            </w:pPr>
          </w:p>
          <w:p w14:paraId="1F214120" w14:textId="77777777" w:rsidR="007559E2" w:rsidRPr="004F577D" w:rsidRDefault="007559E2" w:rsidP="00705637">
            <w:pPr>
              <w:tabs>
                <w:tab w:val="left" w:pos="2184"/>
              </w:tabs>
              <w:rPr>
                <w:sz w:val="14"/>
                <w:szCs w:val="14"/>
              </w:rPr>
            </w:pPr>
            <w:r w:rsidRPr="00125CCC">
              <w:rPr>
                <w:sz w:val="14"/>
                <w:szCs w:val="14"/>
              </w:rPr>
              <w:t>Ævilína</w:t>
            </w:r>
            <w:r>
              <w:rPr>
                <w:b/>
                <w:sz w:val="14"/>
                <w:szCs w:val="14"/>
                <w:vertAlign w:val="superscript"/>
              </w:rPr>
              <w:t>3</w:t>
            </w:r>
          </w:p>
        </w:tc>
        <w:tc>
          <w:tcPr>
            <w:tcW w:w="4218" w:type="pct"/>
            <w:gridSpan w:val="6"/>
            <w:tcBorders>
              <w:bottom w:val="single" w:sz="4" w:space="0" w:color="auto"/>
            </w:tcBorders>
            <w:shd w:val="clear" w:color="auto" w:fill="auto"/>
            <w:vAlign w:val="bottom"/>
          </w:tcPr>
          <w:p w14:paraId="1F214121" w14:textId="77777777" w:rsidR="007559E2" w:rsidRPr="004F577D" w:rsidRDefault="007559E2" w:rsidP="00705637">
            <w:pPr>
              <w:tabs>
                <w:tab w:val="left" w:pos="2184"/>
              </w:tabs>
              <w:rPr>
                <w:sz w:val="14"/>
                <w:szCs w:val="14"/>
              </w:rPr>
            </w:pPr>
            <w:r w:rsidRPr="00125CCC">
              <w:rPr>
                <w:sz w:val="14"/>
                <w:szCs w:val="14"/>
              </w:rPr>
              <w:t>Iðgjald og inneign rétthafa færast á milli Lífeyrisauka 1-5 eftir aldri</w:t>
            </w:r>
          </w:p>
        </w:tc>
      </w:tr>
      <w:tr w:rsidR="00705637" w:rsidRPr="00125CCC" w14:paraId="1F214129" w14:textId="77777777" w:rsidTr="00E12F74">
        <w:tc>
          <w:tcPr>
            <w:tcW w:w="5000" w:type="pct"/>
            <w:gridSpan w:val="7"/>
            <w:tcBorders>
              <w:bottom w:val="single" w:sz="4" w:space="0" w:color="auto"/>
            </w:tcBorders>
            <w:shd w:val="clear" w:color="auto" w:fill="auto"/>
          </w:tcPr>
          <w:p w14:paraId="1F214123" w14:textId="77777777" w:rsidR="00705637" w:rsidRPr="00125CCC" w:rsidRDefault="00705637" w:rsidP="00705637">
            <w:pPr>
              <w:tabs>
                <w:tab w:val="left" w:pos="2184"/>
              </w:tabs>
              <w:rPr>
                <w:sz w:val="4"/>
                <w:szCs w:val="4"/>
              </w:rPr>
            </w:pPr>
          </w:p>
          <w:p w14:paraId="1F214124" w14:textId="77777777" w:rsidR="00705637" w:rsidRDefault="00705637" w:rsidP="00705637">
            <w:pPr>
              <w:jc w:val="both"/>
              <w:rPr>
                <w:sz w:val="12"/>
                <w:szCs w:val="12"/>
              </w:rPr>
            </w:pPr>
            <w:r w:rsidRPr="00125CCC">
              <w:rPr>
                <w:sz w:val="12"/>
                <w:szCs w:val="12"/>
                <w:vertAlign w:val="superscript"/>
              </w:rPr>
              <w:t xml:space="preserve">1 </w:t>
            </w:r>
            <w:r w:rsidRPr="00125CCC">
              <w:rPr>
                <w:sz w:val="12"/>
                <w:szCs w:val="12"/>
              </w:rPr>
              <w:t xml:space="preserve">Í töflunni að ofan eru hlutir og hlutdeildarskírteini annarra sjóða um sameiginlega fjárfestingu flokkaðir sem innlend hlutabréf. </w:t>
            </w:r>
          </w:p>
          <w:p w14:paraId="1F214125" w14:textId="77777777" w:rsidR="00705637" w:rsidRPr="00125CCC" w:rsidRDefault="00705637" w:rsidP="00705637">
            <w:pPr>
              <w:rPr>
                <w:sz w:val="12"/>
                <w:szCs w:val="12"/>
              </w:rPr>
            </w:pPr>
            <w:r w:rsidRPr="0053702C">
              <w:rPr>
                <w:sz w:val="12"/>
                <w:szCs w:val="12"/>
                <w:vertAlign w:val="superscript"/>
              </w:rPr>
              <w:t>2</w:t>
            </w:r>
            <w:r w:rsidRPr="00125CCC">
              <w:rPr>
                <w:sz w:val="12"/>
                <w:szCs w:val="12"/>
              </w:rPr>
              <w:t xml:space="preserve">Vakin er athygli á því að í gildi eru reglur um verðtryggingu sparifjár og lánsfjár, en þær segja m.a. til um binditíma verðtryggðra innlána. Samkvæmt þeim gæti komið til þess að binda þyrfti séreign rétthafa í Lífeyrisauka 5, sem fjárfestir í innlánum, </w:t>
            </w:r>
            <w:r>
              <w:rPr>
                <w:sz w:val="12"/>
                <w:szCs w:val="12"/>
              </w:rPr>
              <w:t xml:space="preserve">hjá Arion banka, </w:t>
            </w:r>
            <w:r w:rsidRPr="00125CCC">
              <w:rPr>
                <w:sz w:val="12"/>
                <w:szCs w:val="12"/>
              </w:rPr>
              <w:t xml:space="preserve">hafi samanlögð heildarinnlán leiðarinnar ekki uppfyllt binditímann. </w:t>
            </w:r>
          </w:p>
          <w:p w14:paraId="1F214126" w14:textId="77777777" w:rsidR="00705637" w:rsidRPr="00125CCC" w:rsidRDefault="00705637" w:rsidP="00705637">
            <w:pPr>
              <w:tabs>
                <w:tab w:val="left" w:pos="2184"/>
              </w:tabs>
              <w:rPr>
                <w:sz w:val="12"/>
                <w:szCs w:val="12"/>
              </w:rPr>
            </w:pPr>
            <w:r>
              <w:rPr>
                <w:sz w:val="12"/>
                <w:szCs w:val="12"/>
                <w:vertAlign w:val="superscript"/>
              </w:rPr>
              <w:t>3-4</w:t>
            </w:r>
            <w:r w:rsidR="007559E2">
              <w:rPr>
                <w:sz w:val="12"/>
                <w:szCs w:val="12"/>
              </w:rPr>
              <w:t xml:space="preserve">Í Ævilínu </w:t>
            </w:r>
            <w:r w:rsidRPr="00125CCC">
              <w:rPr>
                <w:sz w:val="12"/>
                <w:szCs w:val="12"/>
              </w:rPr>
              <w:t>fær</w:t>
            </w:r>
            <w:r w:rsidR="00BA41B4">
              <w:rPr>
                <w:sz w:val="12"/>
                <w:szCs w:val="12"/>
              </w:rPr>
              <w:t>i</w:t>
            </w:r>
            <w:r w:rsidRPr="00125CCC">
              <w:rPr>
                <w:sz w:val="12"/>
                <w:szCs w:val="12"/>
              </w:rPr>
              <w:t>st iðgjald og inneign rétthafa á milli fjárfestingarleiða eftir aldri, eins og sjá má hér fyrir ofan. Við hækkandi aldur er dregið úr vægi áhættumeiri fjárfestinga til að draga úr sveiflum í ávöxtun þegar styttist í útgreiðslu lífeyrissparnaðar. Sjá nánari umfjöllun í 5 gr. reglna um Lífeyrisauka.</w:t>
            </w:r>
          </w:p>
          <w:p w14:paraId="1F214127" w14:textId="77777777" w:rsidR="00705637" w:rsidRPr="004F577D" w:rsidRDefault="00705637" w:rsidP="00705637">
            <w:pPr>
              <w:rPr>
                <w:sz w:val="6"/>
                <w:szCs w:val="10"/>
              </w:rPr>
            </w:pPr>
          </w:p>
          <w:p w14:paraId="1F214128" w14:textId="77777777" w:rsidR="00705637" w:rsidRPr="006045D8" w:rsidRDefault="00705637" w:rsidP="00705637">
            <w:pPr>
              <w:rPr>
                <w:sz w:val="10"/>
                <w:szCs w:val="10"/>
              </w:rPr>
            </w:pPr>
            <w:r w:rsidRPr="00125CCC">
              <w:rPr>
                <w:sz w:val="12"/>
                <w:szCs w:val="12"/>
              </w:rPr>
              <w:t>Hlutfallstölur í ofangreindri töflu eru markmið um eignasamsetningu skv. fjárfestingarstefnu sjóðsins. Samkvæmt fjárfestingarstefnunni er heimilt að undir- eða yfirvigta einstaka eignaflokka, þ.e. víkja frá markmiði um eignasamsetningu, að fyrirfram ákveðnum vikmörkum. Ef fjárfest er í sjóðum eða afleiðum er horft til undirliggjandi eigna. Í þeim tilvikum sem fjárfest er í erlendum myntum er heimilt að nota gjaldeyrisvarnir í því skyni að draga úr áhættu af gengisbreytingum erlendra gjaldmiðla. Fjárfestingarstefnan er endurskoðuð a.m.k. árlega og getur breyst vegna lagabreytinga og/eða skv. ákvörðun vörsluaðila.</w:t>
            </w:r>
          </w:p>
        </w:tc>
      </w:tr>
    </w:tbl>
    <w:p w14:paraId="1F21412A" w14:textId="77777777" w:rsidR="006350DD" w:rsidRPr="006045D8" w:rsidRDefault="006350DD" w:rsidP="006350DD">
      <w:pPr>
        <w:jc w:val="both"/>
        <w:outlineLvl w:val="0"/>
        <w:rPr>
          <w:b/>
          <w:sz w:val="16"/>
          <w:szCs w:val="18"/>
        </w:rPr>
      </w:pPr>
      <w:r w:rsidRPr="006045D8">
        <w:rPr>
          <w:b/>
          <w:sz w:val="16"/>
          <w:szCs w:val="18"/>
        </w:rPr>
        <w:t>Reglur Lífeyrisauka</w:t>
      </w:r>
    </w:p>
    <w:tbl>
      <w:tblPr>
        <w:tblW w:w="5000" w:type="pct"/>
        <w:tblLook w:val="01E0" w:firstRow="1" w:lastRow="1" w:firstColumn="1" w:lastColumn="1" w:noHBand="0" w:noVBand="0"/>
      </w:tblPr>
      <w:tblGrid>
        <w:gridCol w:w="4820"/>
        <w:gridCol w:w="5044"/>
      </w:tblGrid>
      <w:tr w:rsidR="006350DD" w:rsidRPr="00125CCC" w14:paraId="1F21414F" w14:textId="77777777" w:rsidTr="00AB2FC1">
        <w:tc>
          <w:tcPr>
            <w:tcW w:w="2443" w:type="pct"/>
          </w:tcPr>
          <w:p w14:paraId="1F21412B" w14:textId="77777777" w:rsidR="006350DD" w:rsidRPr="00113ED6" w:rsidRDefault="006350DD" w:rsidP="00E12F74">
            <w:pPr>
              <w:autoSpaceDE w:val="0"/>
              <w:autoSpaceDN w:val="0"/>
              <w:adjustRightInd w:val="0"/>
              <w:jc w:val="both"/>
              <w:rPr>
                <w:rFonts w:cs="Avenir-Heavy"/>
                <w:b/>
                <w:sz w:val="13"/>
                <w:szCs w:val="13"/>
                <w:lang w:eastAsia="en-GB"/>
              </w:rPr>
            </w:pPr>
            <w:r w:rsidRPr="00113ED6">
              <w:rPr>
                <w:rFonts w:cs="Avenir-Heavy"/>
                <w:b/>
                <w:sz w:val="13"/>
                <w:szCs w:val="13"/>
                <w:lang w:eastAsia="en-GB"/>
              </w:rPr>
              <w:t>1. gr. Vörslusamningar um lífeyrissparnað</w:t>
            </w:r>
          </w:p>
          <w:p w14:paraId="1F21412C" w14:textId="77777777" w:rsidR="006350DD" w:rsidRPr="00113ED6"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Reglur þessar taka til samninga um lífeyrissparnað sem stofnað er til á grundvelli II. kafla laga nr. 129/1997, um skyldutryggingu lífeyrisréttinda og starfsemi lífeyris</w:t>
            </w:r>
            <w:r>
              <w:rPr>
                <w:rFonts w:cs="Avenir-Light"/>
                <w:sz w:val="13"/>
                <w:szCs w:val="13"/>
                <w:lang w:eastAsia="en-GB"/>
              </w:rPr>
              <w:t xml:space="preserve">sjóða. Allir þeir sem uppfylla </w:t>
            </w:r>
            <w:r w:rsidRPr="00113ED6">
              <w:rPr>
                <w:rFonts w:cs="Avenir-Light"/>
                <w:sz w:val="13"/>
                <w:szCs w:val="13"/>
                <w:lang w:eastAsia="en-GB"/>
              </w:rPr>
              <w:t>ákvæði fyrrgreindra laga um greiðslu iðgjalds til lágmarks</w:t>
            </w:r>
            <w:r w:rsidRPr="00113ED6">
              <w:rPr>
                <w:rFonts w:cs="Avenir-Light"/>
                <w:sz w:val="13"/>
                <w:szCs w:val="13"/>
                <w:lang w:eastAsia="en-GB"/>
              </w:rPr>
              <w:softHyphen/>
              <w:t>tryggingarvern</w:t>
            </w:r>
            <w:r>
              <w:rPr>
                <w:rFonts w:cs="Avenir-Light"/>
                <w:sz w:val="13"/>
                <w:szCs w:val="13"/>
                <w:lang w:eastAsia="en-GB"/>
              </w:rPr>
              <w:t>dar hjá lífeyrissjóði geta feng</w:t>
            </w:r>
            <w:r w:rsidRPr="00113ED6">
              <w:rPr>
                <w:rFonts w:cs="Avenir-Light"/>
                <w:sz w:val="13"/>
                <w:szCs w:val="13"/>
                <w:lang w:eastAsia="en-GB"/>
              </w:rPr>
              <w:t>ið aðild að Lífeyrisauka. Með undirritun rétthafa á samningi Lífeyrisauka sam</w:t>
            </w:r>
            <w:r w:rsidRPr="00113ED6">
              <w:rPr>
                <w:rFonts w:cs="Avenir-Light"/>
                <w:sz w:val="13"/>
                <w:szCs w:val="13"/>
                <w:lang w:eastAsia="en-GB"/>
              </w:rPr>
              <w:softHyphen/>
              <w:t>þykkir hann að hlíta reglum þessum.</w:t>
            </w:r>
          </w:p>
          <w:p w14:paraId="1F21412D" w14:textId="77777777" w:rsidR="006350DD" w:rsidRPr="00113ED6" w:rsidRDefault="006350DD" w:rsidP="00E12F74">
            <w:pPr>
              <w:tabs>
                <w:tab w:val="left" w:pos="4180"/>
              </w:tabs>
              <w:autoSpaceDE w:val="0"/>
              <w:autoSpaceDN w:val="0"/>
              <w:adjustRightInd w:val="0"/>
              <w:jc w:val="both"/>
              <w:rPr>
                <w:rFonts w:cs="Avenir-Heavy"/>
                <w:b/>
                <w:sz w:val="13"/>
                <w:szCs w:val="13"/>
                <w:lang w:eastAsia="en-GB"/>
              </w:rPr>
            </w:pPr>
            <w:r w:rsidRPr="00113ED6">
              <w:rPr>
                <w:rFonts w:cs="Avenir-Heavy"/>
                <w:b/>
                <w:sz w:val="13"/>
                <w:szCs w:val="13"/>
                <w:lang w:eastAsia="en-GB"/>
              </w:rPr>
              <w:t>2. gr. Skil á samningi til launagreiðanda</w:t>
            </w:r>
            <w:r w:rsidRPr="00113ED6">
              <w:rPr>
                <w:rFonts w:cs="Avenir-Heavy"/>
                <w:b/>
                <w:sz w:val="13"/>
                <w:szCs w:val="13"/>
                <w:lang w:eastAsia="en-GB"/>
              </w:rPr>
              <w:tab/>
            </w:r>
          </w:p>
          <w:p w14:paraId="1F21412E" w14:textId="77777777" w:rsidR="006350DD" w:rsidRPr="00113ED6"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Þegar samningur hefur komist á um lífeyrissparnað skal Arion banki hf. senda launa</w:t>
            </w:r>
            <w:r w:rsidRPr="00113ED6">
              <w:rPr>
                <w:rFonts w:cs="Avenir-Light"/>
                <w:sz w:val="13"/>
                <w:szCs w:val="13"/>
                <w:lang w:eastAsia="en-GB"/>
              </w:rPr>
              <w:softHyphen/>
              <w:t xml:space="preserve">greiðanda afrit af samningnum. </w:t>
            </w:r>
          </w:p>
          <w:p w14:paraId="1F21412F" w14:textId="77777777" w:rsidR="006350DD" w:rsidRPr="00113ED6" w:rsidRDefault="006350DD" w:rsidP="00E12F74">
            <w:pPr>
              <w:autoSpaceDE w:val="0"/>
              <w:autoSpaceDN w:val="0"/>
              <w:adjustRightInd w:val="0"/>
              <w:jc w:val="both"/>
              <w:rPr>
                <w:rFonts w:cs="Avenir-Heavy"/>
                <w:b/>
                <w:sz w:val="13"/>
                <w:szCs w:val="13"/>
                <w:lang w:eastAsia="en-GB"/>
              </w:rPr>
            </w:pPr>
            <w:r w:rsidRPr="00113ED6">
              <w:rPr>
                <w:rFonts w:cs="Avenir-Heavy"/>
                <w:b/>
                <w:sz w:val="13"/>
                <w:szCs w:val="13"/>
                <w:lang w:eastAsia="en-GB"/>
              </w:rPr>
              <w:t>3. gr. Iðgjaldagreiðslur</w:t>
            </w:r>
          </w:p>
          <w:p w14:paraId="1F214130" w14:textId="77777777" w:rsidR="006350DD" w:rsidRPr="00113ED6"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Iðgjöld skulu greiðast mánaðarlega. Gjalddagi iðgj</w:t>
            </w:r>
            <w:r>
              <w:rPr>
                <w:rFonts w:cs="Avenir-Light"/>
                <w:sz w:val="13"/>
                <w:szCs w:val="13"/>
                <w:lang w:eastAsia="en-GB"/>
              </w:rPr>
              <w:t>aldagreiðslutímabils er tí</w:t>
            </w:r>
            <w:r w:rsidRPr="00113ED6">
              <w:rPr>
                <w:rFonts w:cs="Avenir-Light"/>
                <w:sz w:val="13"/>
                <w:szCs w:val="13"/>
                <w:lang w:eastAsia="en-GB"/>
              </w:rPr>
              <w:t>undi næsta mánaðar. Eindagi skal vera s</w:t>
            </w:r>
            <w:r>
              <w:rPr>
                <w:rFonts w:cs="Avenir-Light"/>
                <w:sz w:val="13"/>
                <w:szCs w:val="13"/>
                <w:lang w:eastAsia="en-GB"/>
              </w:rPr>
              <w:t>íðasti dagur sama mánaðar og ið</w:t>
            </w:r>
            <w:r w:rsidRPr="00113ED6">
              <w:rPr>
                <w:rFonts w:cs="Avenir-Light"/>
                <w:sz w:val="13"/>
                <w:szCs w:val="13"/>
                <w:lang w:eastAsia="en-GB"/>
              </w:rPr>
              <w:t xml:space="preserve">gjald fellur í gjalddaga. Í samningi um Lífeyrisauka skal fjárhæðin tilgreind í krónum eða sem hlutfall af launum. Iðgjaldagreiðslur skulu hefjast eigi síðar en 2 mánuðum eftir undirritun samnings um Lífeyrisauka. Iðgjöld greiðast með þeim hætti sem samningur um Lífeyrisauka kveður á um, nema gerður sé sérstakur samningur um annað fyrirkomulag síðar. </w:t>
            </w:r>
          </w:p>
          <w:p w14:paraId="1F214131" w14:textId="77777777" w:rsidR="006350DD" w:rsidRPr="00113ED6"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Arion banka hf. ber að ávaxta greitt iðgjald samkvæmt samn</w:t>
            </w:r>
            <w:r>
              <w:rPr>
                <w:rFonts w:cs="Avenir-Light"/>
                <w:sz w:val="13"/>
                <w:szCs w:val="13"/>
                <w:lang w:eastAsia="en-GB"/>
              </w:rPr>
              <w:t>ingi um Lífeyris</w:t>
            </w:r>
            <w:r w:rsidRPr="00113ED6">
              <w:rPr>
                <w:rFonts w:cs="Avenir-Light"/>
                <w:sz w:val="13"/>
                <w:szCs w:val="13"/>
                <w:lang w:eastAsia="en-GB"/>
              </w:rPr>
              <w:t>auka frá þeim degi er bankanum berst iðgja</w:t>
            </w:r>
            <w:r>
              <w:rPr>
                <w:rFonts w:cs="Avenir-Light"/>
                <w:sz w:val="13"/>
                <w:szCs w:val="13"/>
                <w:lang w:eastAsia="en-GB"/>
              </w:rPr>
              <w:t>ld vegna rétthafa. Berist skila</w:t>
            </w:r>
            <w:r w:rsidRPr="00113ED6">
              <w:rPr>
                <w:rFonts w:cs="Avenir-Light"/>
                <w:sz w:val="13"/>
                <w:szCs w:val="13"/>
                <w:lang w:eastAsia="en-GB"/>
              </w:rPr>
              <w:t>grein frá launagreiðanda síðar en iðgjöld er Arion banka hf. skylt að reikna</w:t>
            </w:r>
            <w:r>
              <w:rPr>
                <w:rFonts w:cs="Avenir-Light"/>
                <w:sz w:val="13"/>
                <w:szCs w:val="13"/>
                <w:lang w:eastAsia="en-GB"/>
              </w:rPr>
              <w:t xml:space="preserve"> vexti frá skráningardegi skilagreinar í sam</w:t>
            </w:r>
            <w:r w:rsidRPr="00113ED6">
              <w:rPr>
                <w:rFonts w:cs="Avenir-Light"/>
                <w:sz w:val="13"/>
                <w:szCs w:val="13"/>
                <w:lang w:eastAsia="en-GB"/>
              </w:rPr>
              <w:t>ræmi við þá fjárfestingarleið sem í gildi er samkvæmt samningi um Lífeyrisauka, enda geti bankinn ekki áður sérgreint fé rétthafa sem launagrei</w:t>
            </w:r>
            <w:r>
              <w:rPr>
                <w:rFonts w:cs="Avenir-Light"/>
                <w:sz w:val="13"/>
                <w:szCs w:val="13"/>
                <w:lang w:eastAsia="en-GB"/>
              </w:rPr>
              <w:t>ðandi greiðir iðgjald fyrir. Ið</w:t>
            </w:r>
            <w:r w:rsidRPr="00113ED6">
              <w:rPr>
                <w:rFonts w:cs="Avenir-Light"/>
                <w:sz w:val="13"/>
                <w:szCs w:val="13"/>
                <w:lang w:eastAsia="en-GB"/>
              </w:rPr>
              <w:t xml:space="preserve">gjald skal bera sömu vexti og Fjárhæðarþrep  Arion banka hf. hverju sinni frá þeim tíma sem það </w:t>
            </w:r>
            <w:r>
              <w:rPr>
                <w:rFonts w:cs="Avenir-Light"/>
                <w:sz w:val="13"/>
                <w:szCs w:val="13"/>
                <w:lang w:eastAsia="en-GB"/>
              </w:rPr>
              <w:t>berst vörsluaðila þar til skila</w:t>
            </w:r>
            <w:r w:rsidRPr="00113ED6">
              <w:rPr>
                <w:rFonts w:cs="Avenir-Light"/>
                <w:sz w:val="13"/>
                <w:szCs w:val="13"/>
                <w:lang w:eastAsia="en-GB"/>
              </w:rPr>
              <w:t>grein er skráð.</w:t>
            </w:r>
          </w:p>
          <w:p w14:paraId="1F214132" w14:textId="77777777" w:rsidR="006350DD" w:rsidRPr="00113ED6" w:rsidRDefault="006350DD" w:rsidP="00E12F74">
            <w:pPr>
              <w:autoSpaceDE w:val="0"/>
              <w:autoSpaceDN w:val="0"/>
              <w:adjustRightInd w:val="0"/>
              <w:jc w:val="both"/>
              <w:rPr>
                <w:rFonts w:cs="Avenir-Heavy"/>
                <w:b/>
                <w:sz w:val="13"/>
                <w:szCs w:val="13"/>
                <w:lang w:eastAsia="en-GB"/>
              </w:rPr>
            </w:pPr>
            <w:r w:rsidRPr="00113ED6">
              <w:rPr>
                <w:rFonts w:cs="Avenir-Heavy"/>
                <w:b/>
                <w:sz w:val="13"/>
                <w:szCs w:val="13"/>
                <w:lang w:eastAsia="en-GB"/>
              </w:rPr>
              <w:t>4. gr. Ráðstöfun iðgjalds</w:t>
            </w:r>
          </w:p>
          <w:p w14:paraId="1F214133" w14:textId="77777777" w:rsidR="006350DD" w:rsidRPr="00113ED6"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 xml:space="preserve">Í samningi um Lífeyrisauka ákveður rétthafi </w:t>
            </w:r>
            <w:r>
              <w:rPr>
                <w:rFonts w:cs="Avenir-Light"/>
                <w:sz w:val="13"/>
                <w:szCs w:val="13"/>
                <w:lang w:eastAsia="en-GB"/>
              </w:rPr>
              <w:t>hvernig iðgjaldi hans skuli ráð</w:t>
            </w:r>
            <w:r w:rsidRPr="00113ED6">
              <w:rPr>
                <w:rFonts w:cs="Avenir-Light"/>
                <w:sz w:val="13"/>
                <w:szCs w:val="13"/>
                <w:lang w:eastAsia="en-GB"/>
              </w:rPr>
              <w:t>stafað til ávöxtunar í fjárfestingarleið með fyrirfram ákve</w:t>
            </w:r>
            <w:r>
              <w:rPr>
                <w:rFonts w:cs="Avenir-Light"/>
                <w:sz w:val="13"/>
                <w:szCs w:val="13"/>
                <w:lang w:eastAsia="en-GB"/>
              </w:rPr>
              <w:t>ðinni fjárfestingar</w:t>
            </w:r>
            <w:r w:rsidRPr="00113ED6">
              <w:rPr>
                <w:rFonts w:cs="Avenir-Light"/>
                <w:sz w:val="13"/>
                <w:szCs w:val="13"/>
                <w:lang w:eastAsia="en-GB"/>
              </w:rPr>
              <w:t>stefnu. Heimilt er að ráðstafa hluta i</w:t>
            </w:r>
            <w:r>
              <w:rPr>
                <w:rFonts w:cs="Avenir-Light"/>
                <w:sz w:val="13"/>
                <w:szCs w:val="13"/>
                <w:lang w:eastAsia="en-GB"/>
              </w:rPr>
              <w:t>ðgjalds til kaupa á heilsutryggingum. Um greiðslu vátrygginga</w:t>
            </w:r>
            <w:r w:rsidRPr="00113ED6">
              <w:rPr>
                <w:rFonts w:cs="Avenir-Light"/>
                <w:sz w:val="13"/>
                <w:szCs w:val="13"/>
                <w:lang w:eastAsia="en-GB"/>
              </w:rPr>
              <w:t>bóta fer skv. 7. gr. reglna þessara. Þar til bætur eru greiddar út skulu þær ávaxtaðar í samræmi við fjárfestingarleið er rétthafi hefur valið. Rétthafi getur ávallt b</w:t>
            </w:r>
            <w:r>
              <w:rPr>
                <w:rFonts w:cs="Avenir-Light"/>
                <w:sz w:val="13"/>
                <w:szCs w:val="13"/>
                <w:lang w:eastAsia="en-GB"/>
              </w:rPr>
              <w:t>reytt ákvörðun sinni vegna fram</w:t>
            </w:r>
            <w:r w:rsidRPr="00113ED6">
              <w:rPr>
                <w:rFonts w:cs="Avenir-Light"/>
                <w:sz w:val="13"/>
                <w:szCs w:val="13"/>
                <w:lang w:eastAsia="en-GB"/>
              </w:rPr>
              <w:t>tíðariðgjalda með skriflegri tilkynningu til Arion banka hf.</w:t>
            </w:r>
          </w:p>
          <w:p w14:paraId="1F214134" w14:textId="77777777" w:rsidR="006350DD" w:rsidRPr="00113ED6" w:rsidRDefault="006350DD" w:rsidP="00E12F74">
            <w:pPr>
              <w:autoSpaceDE w:val="0"/>
              <w:autoSpaceDN w:val="0"/>
              <w:adjustRightInd w:val="0"/>
              <w:jc w:val="both"/>
              <w:rPr>
                <w:rFonts w:cs="Avenir-Heavy"/>
                <w:b/>
                <w:sz w:val="13"/>
                <w:szCs w:val="13"/>
                <w:lang w:eastAsia="en-GB"/>
              </w:rPr>
            </w:pPr>
            <w:r w:rsidRPr="00113ED6">
              <w:rPr>
                <w:rFonts w:cs="Avenir-Heavy"/>
                <w:b/>
                <w:sz w:val="13"/>
                <w:szCs w:val="13"/>
                <w:lang w:eastAsia="en-GB"/>
              </w:rPr>
              <w:t>5. gr. Fjárfestingarleiðir</w:t>
            </w:r>
          </w:p>
          <w:p w14:paraId="1F214135" w14:textId="77777777" w:rsidR="006350DD" w:rsidRPr="006045D8" w:rsidRDefault="006350DD" w:rsidP="00E12F74">
            <w:pPr>
              <w:autoSpaceDE w:val="0"/>
              <w:autoSpaceDN w:val="0"/>
              <w:adjustRightInd w:val="0"/>
              <w:jc w:val="both"/>
              <w:rPr>
                <w:rFonts w:cs="Avenir-Light"/>
                <w:sz w:val="13"/>
                <w:szCs w:val="13"/>
                <w:lang w:eastAsia="en-GB"/>
              </w:rPr>
            </w:pPr>
            <w:r w:rsidRPr="006045D8">
              <w:rPr>
                <w:rFonts w:cs="Avenir-Light"/>
                <w:sz w:val="13"/>
                <w:szCs w:val="13"/>
                <w:lang w:eastAsia="en-GB"/>
              </w:rPr>
              <w:t>Rétthafar Lífeyrisauka geta valið á milli mismunandi fjárfestingarleiða til að ávaxta inn</w:t>
            </w:r>
            <w:r w:rsidRPr="006045D8">
              <w:rPr>
                <w:rFonts w:cs="Avenir-Light"/>
                <w:sz w:val="13"/>
                <w:szCs w:val="13"/>
                <w:lang w:eastAsia="en-GB"/>
              </w:rPr>
              <w:softHyphen/>
              <w:t>stæðu sína. Ávöxtunarmöguleikarnir eru nokkrir sem felst nánar tiltekið í því að í boði er mismunandi hlutfall hlutabréfa í safni á móti öðrum fjármálagerningum, s.s. skulda</w:t>
            </w:r>
            <w:r w:rsidRPr="006045D8">
              <w:rPr>
                <w:rFonts w:cs="Avenir-Light"/>
                <w:sz w:val="13"/>
                <w:szCs w:val="13"/>
                <w:lang w:eastAsia="en-GB"/>
              </w:rPr>
              <w:softHyphen/>
              <w:t>bréfum og víxlum, sem og innlánum í bönkum og sparisjóðum. Rétthafar geta flutt innstæðu sína á milli fjárfestingarleiða. Kostnaður við flutninginn skal vera skv. gild</w:t>
            </w:r>
            <w:r w:rsidRPr="006045D8">
              <w:rPr>
                <w:rFonts w:cs="Avenir-Light"/>
                <w:sz w:val="13"/>
                <w:szCs w:val="13"/>
                <w:lang w:eastAsia="en-GB"/>
              </w:rPr>
              <w:softHyphen/>
              <w:t>andi gjaldskrá Arion banka hf</w:t>
            </w:r>
            <w:r w:rsidR="00704893">
              <w:rPr>
                <w:rFonts w:cs="Avenir-Light"/>
                <w:sz w:val="13"/>
                <w:szCs w:val="13"/>
                <w:lang w:eastAsia="en-GB"/>
              </w:rPr>
              <w:t>. á hverjum tíma en að hámarki 0,5</w:t>
            </w:r>
            <w:r w:rsidRPr="006045D8">
              <w:rPr>
                <w:rFonts w:cs="Avenir-Light"/>
                <w:sz w:val="13"/>
                <w:szCs w:val="13"/>
                <w:lang w:eastAsia="en-GB"/>
              </w:rPr>
              <w:t>% af inneign rétt</w:t>
            </w:r>
            <w:r w:rsidRPr="006045D8">
              <w:rPr>
                <w:rFonts w:cs="Avenir-Light"/>
                <w:sz w:val="13"/>
                <w:szCs w:val="13"/>
                <w:lang w:eastAsia="en-GB"/>
              </w:rPr>
              <w:softHyphen/>
              <w:t>hafa. Jafnframt geta rétthafar valið að færast sjálfkrafa milli þessara fjárfestingar</w:t>
            </w:r>
            <w:r w:rsidRPr="006045D8">
              <w:rPr>
                <w:rFonts w:cs="Avenir-Light"/>
                <w:sz w:val="13"/>
                <w:szCs w:val="13"/>
                <w:lang w:eastAsia="en-GB"/>
              </w:rPr>
              <w:softHyphen/>
              <w:t>leiða skv. Ævilínu án kostnaðar. Flutningur skv. Ævilínu fer þannig fram að inn</w:t>
            </w:r>
            <w:r w:rsidRPr="006045D8">
              <w:rPr>
                <w:rFonts w:cs="Avenir-Light"/>
                <w:sz w:val="13"/>
                <w:szCs w:val="13"/>
                <w:lang w:eastAsia="en-GB"/>
              </w:rPr>
              <w:softHyphen/>
              <w:t>eign er flutt á milli fjárfestingarleiða í jöfnum áföngum á fimm árum með þeirri undan</w:t>
            </w:r>
            <w:r w:rsidRPr="006045D8">
              <w:rPr>
                <w:rFonts w:cs="Avenir-Light"/>
                <w:sz w:val="13"/>
                <w:szCs w:val="13"/>
                <w:lang w:eastAsia="en-GB"/>
              </w:rPr>
              <w:softHyphen/>
              <w:t>tekningu að flutningur á inneign rétthafa úr Lífeyrisauka 4 í Lífeyris</w:t>
            </w:r>
            <w:r w:rsidRPr="006045D8">
              <w:rPr>
                <w:rFonts w:cs="Avenir-Light"/>
                <w:sz w:val="13"/>
                <w:szCs w:val="13"/>
                <w:lang w:eastAsia="en-GB"/>
              </w:rPr>
              <w:softHyphen/>
              <w:t>auka 5 er fram</w:t>
            </w:r>
            <w:r w:rsidRPr="006045D8">
              <w:rPr>
                <w:rFonts w:cs="Avenir-Light"/>
                <w:sz w:val="13"/>
                <w:szCs w:val="13"/>
                <w:lang w:eastAsia="en-GB"/>
              </w:rPr>
              <w:softHyphen/>
              <w:t>kvæmdur í heilu lagi. Iðgjö</w:t>
            </w:r>
            <w:r w:rsidR="006045D8" w:rsidRPr="006045D8">
              <w:rPr>
                <w:rFonts w:cs="Avenir-Light"/>
                <w:sz w:val="13"/>
                <w:szCs w:val="13"/>
                <w:lang w:eastAsia="en-GB"/>
              </w:rPr>
              <w:t>ldum, sem berast eftir að flutn</w:t>
            </w:r>
            <w:r w:rsidRPr="006045D8">
              <w:rPr>
                <w:rFonts w:cs="Avenir-Light"/>
                <w:sz w:val="13"/>
                <w:szCs w:val="13"/>
                <w:lang w:eastAsia="en-GB"/>
              </w:rPr>
              <w:t>ingur inneignar á milli fjár</w:t>
            </w:r>
            <w:r w:rsidRPr="006045D8">
              <w:rPr>
                <w:rFonts w:cs="Avenir-Light"/>
                <w:sz w:val="13"/>
                <w:szCs w:val="13"/>
                <w:lang w:eastAsia="en-GB"/>
              </w:rPr>
              <w:softHyphen/>
              <w:t>festingarleiða er hafinn</w:t>
            </w:r>
            <w:r w:rsidR="006045D8">
              <w:rPr>
                <w:rFonts w:cs="Avenir-Light"/>
                <w:sz w:val="13"/>
                <w:szCs w:val="13"/>
                <w:lang w:eastAsia="en-GB"/>
              </w:rPr>
              <w:t>, er ráðstafað óskipt í þá fjár</w:t>
            </w:r>
            <w:r w:rsidRPr="006045D8">
              <w:rPr>
                <w:rFonts w:cs="Avenir-Light"/>
                <w:sz w:val="13"/>
                <w:szCs w:val="13"/>
                <w:lang w:eastAsia="en-GB"/>
              </w:rPr>
              <w:t>festingarleið sem inneign flyst í. Í þeim tilvikum sem fjárfest er í erlendum myntum er stefnan að nota gjaldeyrisvarnir með því markmiði að draga úr áhættu af gengis</w:t>
            </w:r>
            <w:r w:rsidRPr="006045D8">
              <w:rPr>
                <w:rFonts w:cs="Avenir-Light"/>
                <w:sz w:val="13"/>
                <w:szCs w:val="13"/>
                <w:lang w:eastAsia="en-GB"/>
              </w:rPr>
              <w:softHyphen/>
              <w:t>breytingum erlendra gjaldmiðla. Arion banki hf. annast eignastýringu skv. stefnu sjóðsins, en er heimilt að úthýsa eignastýr</w:t>
            </w:r>
            <w:r w:rsidRPr="006045D8">
              <w:rPr>
                <w:rFonts w:cs="Avenir-Light"/>
                <w:sz w:val="13"/>
                <w:szCs w:val="13"/>
                <w:lang w:eastAsia="en-GB"/>
              </w:rPr>
              <w:softHyphen/>
              <w:t xml:space="preserve">ingunni til Stefnis hf. </w:t>
            </w:r>
          </w:p>
          <w:p w14:paraId="1F214136" w14:textId="77777777" w:rsidR="006350DD" w:rsidRPr="00113ED6" w:rsidRDefault="006350DD" w:rsidP="00E12F74">
            <w:pPr>
              <w:jc w:val="both"/>
              <w:rPr>
                <w:rFonts w:cs="Avenir-Light"/>
                <w:b/>
                <w:sz w:val="13"/>
                <w:szCs w:val="13"/>
                <w:lang w:eastAsia="en-GB"/>
              </w:rPr>
            </w:pPr>
            <w:r w:rsidRPr="00113ED6">
              <w:rPr>
                <w:rFonts w:cs="Avenir-Light"/>
                <w:b/>
                <w:sz w:val="13"/>
                <w:szCs w:val="13"/>
                <w:lang w:eastAsia="en-GB"/>
              </w:rPr>
              <w:t>6. gr. Ráðstöfun iðgjalda við nýjan samning</w:t>
            </w:r>
          </w:p>
          <w:p w14:paraId="1F214137" w14:textId="77777777" w:rsidR="006350DD"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Ef fyrir liggur samningur við rétthafa um sama efni eða ef iðgjöld rétthafa hafa borist án þess að samningur hafi verið gerður þá kemur nýjasti samn</w:t>
            </w:r>
            <w:r w:rsidRPr="00113ED6">
              <w:rPr>
                <w:rFonts w:cs="Avenir-Light"/>
                <w:sz w:val="13"/>
                <w:szCs w:val="13"/>
                <w:lang w:eastAsia="en-GB"/>
              </w:rPr>
              <w:softHyphen/>
              <w:t>ingur rétthafa í stað eldri samnings eða eldra fyrirkomulags. Þ.e. framtíðar</w:t>
            </w:r>
            <w:r w:rsidRPr="00113ED6">
              <w:rPr>
                <w:rFonts w:cs="Avenir-Light"/>
                <w:sz w:val="13"/>
                <w:szCs w:val="13"/>
                <w:lang w:eastAsia="en-GB"/>
              </w:rPr>
              <w:softHyphen/>
              <w:t>iðgjöldum allra launa</w:t>
            </w:r>
            <w:r w:rsidRPr="00113ED6">
              <w:rPr>
                <w:rFonts w:cs="Avenir-Light"/>
                <w:sz w:val="13"/>
                <w:szCs w:val="13"/>
                <w:lang w:eastAsia="en-GB"/>
              </w:rPr>
              <w:softHyphen/>
              <w:t>greiðenda verður ráðstafað samkvæmt nýjasta samningi rétthafa. Velji rétt</w:t>
            </w:r>
            <w:r w:rsidRPr="00113ED6">
              <w:rPr>
                <w:rFonts w:cs="Avenir-Light"/>
                <w:sz w:val="13"/>
                <w:szCs w:val="13"/>
                <w:lang w:eastAsia="en-GB"/>
              </w:rPr>
              <w:softHyphen/>
              <w:t>hafi Ævilínu en á uppsafnaða inneign í annarri fjárfestingarleið, þá mun hún við valið flytjast í þá fjár</w:t>
            </w:r>
            <w:r w:rsidRPr="00113ED6">
              <w:rPr>
                <w:rFonts w:cs="Avenir-Light"/>
                <w:sz w:val="13"/>
                <w:szCs w:val="13"/>
                <w:lang w:eastAsia="en-GB"/>
              </w:rPr>
              <w:softHyphen/>
              <w:t xml:space="preserve">festingarleið sem tilheyrir Ævilínu og fylgja henni. </w:t>
            </w:r>
            <w:r w:rsidRPr="00113ED6">
              <w:rPr>
                <w:rFonts w:cs="Arial"/>
                <w:sz w:val="13"/>
                <w:szCs w:val="13"/>
              </w:rPr>
              <w:t xml:space="preserve">Þó verður inneign í Lífeyrisauka 5, Erlendum verðbréfum og Innlendum </w:t>
            </w:r>
            <w:r>
              <w:rPr>
                <w:rFonts w:cs="Arial"/>
                <w:sz w:val="13"/>
                <w:szCs w:val="13"/>
              </w:rPr>
              <w:t>skulda</w:t>
            </w:r>
            <w:r w:rsidRPr="00113ED6">
              <w:rPr>
                <w:rFonts w:cs="Arial"/>
                <w:sz w:val="13"/>
                <w:szCs w:val="13"/>
              </w:rPr>
              <w:t xml:space="preserve">bréfum ekki flutt skv. þessu. </w:t>
            </w:r>
            <w:r w:rsidRPr="00113ED6">
              <w:rPr>
                <w:rFonts w:cs="Avenir-Light"/>
                <w:sz w:val="13"/>
                <w:szCs w:val="13"/>
                <w:lang w:eastAsia="en-GB"/>
              </w:rPr>
              <w:t>Velji rétthafi hins vegar aðra fjárfestingarleið en Ævilínu en á uppsafnaða inneign í Ævilínu, þá mun hún við valið</w:t>
            </w:r>
            <w:r w:rsidRPr="00113ED6">
              <w:rPr>
                <w:rFonts w:cs="Arial"/>
                <w:sz w:val="13"/>
                <w:szCs w:val="13"/>
              </w:rPr>
              <w:t xml:space="preserve"> </w:t>
            </w:r>
            <w:r w:rsidRPr="00113ED6">
              <w:rPr>
                <w:rFonts w:cs="Avenir-Light"/>
                <w:sz w:val="13"/>
                <w:szCs w:val="13"/>
                <w:lang w:eastAsia="en-GB"/>
              </w:rPr>
              <w:t>sitja eftir í þeirri fjárfestingarleið sem til</w:t>
            </w:r>
            <w:r w:rsidRPr="00113ED6">
              <w:rPr>
                <w:rFonts w:cs="Avenir-Light"/>
                <w:sz w:val="13"/>
                <w:szCs w:val="13"/>
                <w:lang w:eastAsia="en-GB"/>
              </w:rPr>
              <w:softHyphen/>
              <w:t>heyrir Ævilínu en mun fram</w:t>
            </w:r>
            <w:r w:rsidRPr="00113ED6">
              <w:rPr>
                <w:rFonts w:cs="Avenir-Light"/>
                <w:sz w:val="13"/>
                <w:szCs w:val="13"/>
                <w:lang w:eastAsia="en-GB"/>
              </w:rPr>
              <w:softHyphen/>
              <w:t>vegis ekki verða flutt samkvæmt reglum um Ævilínu.</w:t>
            </w:r>
          </w:p>
          <w:p w14:paraId="1F214138" w14:textId="77777777" w:rsidR="006350DD" w:rsidRPr="00113ED6" w:rsidRDefault="006350DD" w:rsidP="00E12F74">
            <w:pPr>
              <w:autoSpaceDE w:val="0"/>
              <w:autoSpaceDN w:val="0"/>
              <w:adjustRightInd w:val="0"/>
              <w:jc w:val="both"/>
              <w:rPr>
                <w:rFonts w:cs="Avenir-Heavy"/>
                <w:b/>
                <w:sz w:val="13"/>
                <w:szCs w:val="13"/>
                <w:lang w:eastAsia="en-GB"/>
              </w:rPr>
            </w:pPr>
            <w:r w:rsidRPr="00113ED6">
              <w:rPr>
                <w:rFonts w:cs="Avenir-Heavy"/>
                <w:b/>
                <w:sz w:val="13"/>
                <w:szCs w:val="13"/>
                <w:lang w:eastAsia="en-GB"/>
              </w:rPr>
              <w:t>7. gr. Útborgun sparnaðar</w:t>
            </w:r>
          </w:p>
          <w:p w14:paraId="1F214139" w14:textId="77777777" w:rsidR="006350DD"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 xml:space="preserve">Útborgun sparnaðar getur aðeins komið til vegna </w:t>
            </w:r>
            <w:r w:rsidR="006045D8">
              <w:rPr>
                <w:rFonts w:cs="Avenir-Light"/>
                <w:sz w:val="13"/>
                <w:szCs w:val="13"/>
                <w:lang w:eastAsia="en-GB"/>
              </w:rPr>
              <w:t>aldurs, örorku eða andláts rétt</w:t>
            </w:r>
            <w:r w:rsidRPr="00113ED6">
              <w:rPr>
                <w:rFonts w:cs="Avenir-Light"/>
                <w:sz w:val="13"/>
                <w:szCs w:val="13"/>
                <w:lang w:eastAsia="en-GB"/>
              </w:rPr>
              <w:t xml:space="preserve">hafa. </w:t>
            </w:r>
          </w:p>
          <w:p w14:paraId="1F21413A" w14:textId="77777777" w:rsidR="006350DD" w:rsidRPr="006045D8" w:rsidRDefault="006350DD" w:rsidP="00E12F74">
            <w:pPr>
              <w:autoSpaceDE w:val="0"/>
              <w:autoSpaceDN w:val="0"/>
              <w:adjustRightInd w:val="0"/>
              <w:jc w:val="both"/>
              <w:rPr>
                <w:sz w:val="2"/>
                <w:szCs w:val="2"/>
              </w:rPr>
            </w:pPr>
          </w:p>
        </w:tc>
        <w:tc>
          <w:tcPr>
            <w:tcW w:w="2557" w:type="pct"/>
          </w:tcPr>
          <w:p w14:paraId="1F21413B" w14:textId="77777777" w:rsidR="006045D8" w:rsidRDefault="006045D8" w:rsidP="00E12F74">
            <w:pPr>
              <w:autoSpaceDE w:val="0"/>
              <w:autoSpaceDN w:val="0"/>
              <w:adjustRightInd w:val="0"/>
              <w:jc w:val="both"/>
              <w:rPr>
                <w:rFonts w:cs="Avenir-Light"/>
                <w:sz w:val="13"/>
                <w:szCs w:val="13"/>
                <w:lang w:eastAsia="en-GB"/>
              </w:rPr>
            </w:pPr>
            <w:r w:rsidRPr="00113ED6">
              <w:rPr>
                <w:rFonts w:cs="Avenir-Light"/>
                <w:sz w:val="13"/>
                <w:szCs w:val="13"/>
                <w:lang w:eastAsia="en-GB"/>
              </w:rPr>
              <w:t>Rétthafi getur hafið úttekt á innstæðu eða gert sérstakan út</w:t>
            </w:r>
            <w:r w:rsidRPr="00113ED6">
              <w:rPr>
                <w:rFonts w:cs="Avenir-Light"/>
                <w:sz w:val="13"/>
                <w:szCs w:val="13"/>
                <w:lang w:eastAsia="en-GB"/>
              </w:rPr>
              <w:softHyphen/>
              <w:t>borgunarsamning 2 árum eftir fyrstu greiðslu iðgjalds.</w:t>
            </w:r>
          </w:p>
          <w:p w14:paraId="1F21413C" w14:textId="77777777" w:rsidR="006350DD" w:rsidRPr="00113ED6"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 xml:space="preserve">Þegar rétthafi er orðinn 60 ára er heimilt að greiða út lífeyrissparnað ásamt vöxtum. </w:t>
            </w:r>
          </w:p>
          <w:p w14:paraId="1F21413D" w14:textId="77777777" w:rsidR="006350DD" w:rsidRPr="00113ED6"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Deyi rétthafi áður en innstæða er að fullu greidd út fellur hún til erfingja hans og skipt</w:t>
            </w:r>
            <w:r w:rsidRPr="00113ED6">
              <w:rPr>
                <w:rFonts w:cs="Avenir-Light"/>
                <w:sz w:val="13"/>
                <w:szCs w:val="13"/>
                <w:lang w:eastAsia="en-GB"/>
              </w:rPr>
              <w:softHyphen/>
              <w:t>ist milli þeirra eftir reglum erfðalaga. Láti rétthafi ekki eftir sig maka eða barn rennur innstæðan til dánarbúsins og gildir þá ekki takmörkunin í 2. málsl. 2. mgr. 8. gr. laga nr. 129/1997.</w:t>
            </w:r>
          </w:p>
          <w:p w14:paraId="1F21413E" w14:textId="77777777" w:rsidR="006350DD" w:rsidRPr="00113ED6"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Verði rétthafi öryrki og orkutapið sem hann verður fyrir er 100% á hann rétt á að fá lífeyrissparnað og vexti greidda út með jöfnum árlegum greiðslum á 7 árum. Árleg út</w:t>
            </w:r>
            <w:r w:rsidRPr="00113ED6">
              <w:rPr>
                <w:rFonts w:cs="Avenir-Light"/>
                <w:sz w:val="13"/>
                <w:szCs w:val="13"/>
                <w:lang w:eastAsia="en-GB"/>
              </w:rPr>
              <w:softHyphen/>
              <w:t>borgun lækkar og úttektar</w:t>
            </w:r>
            <w:r w:rsidRPr="00113ED6">
              <w:rPr>
                <w:rFonts w:cs="Avenir-Light"/>
                <w:sz w:val="13"/>
                <w:szCs w:val="13"/>
                <w:lang w:eastAsia="en-GB"/>
              </w:rPr>
              <w:softHyphen/>
              <w:t>tími lengist í hlutfalli við lækkun örorkuprósentu, sbr. 3. mgr. 11. gr. laga nr. 129/1997. Útborgun getur í fyrsta lagi hafist þegar vottorð um örorku og orkutap liggja fyrir. Ef innstæða rétthafa sem orðið hefur fyrir orkutapi er undir kr. 500.000 þegar að út</w:t>
            </w:r>
            <w:r w:rsidRPr="00113ED6">
              <w:rPr>
                <w:rFonts w:cs="Avenir-Light"/>
                <w:sz w:val="13"/>
                <w:szCs w:val="13"/>
                <w:lang w:eastAsia="en-GB"/>
              </w:rPr>
              <w:softHyphen/>
              <w:t xml:space="preserve">greiðslu kemur er hún greidd út í eingreiðslu, sé þess óskað. </w:t>
            </w:r>
          </w:p>
          <w:p w14:paraId="1F21413F" w14:textId="77777777" w:rsidR="006350DD" w:rsidRPr="00113ED6" w:rsidRDefault="006350DD" w:rsidP="00E12F74">
            <w:pPr>
              <w:autoSpaceDE w:val="0"/>
              <w:autoSpaceDN w:val="0"/>
              <w:adjustRightInd w:val="0"/>
              <w:jc w:val="both"/>
              <w:rPr>
                <w:rFonts w:cs="Avenir-Light"/>
                <w:sz w:val="13"/>
                <w:szCs w:val="13"/>
                <w:lang w:val="nb-NO" w:eastAsia="en-GB"/>
              </w:rPr>
            </w:pPr>
            <w:r w:rsidRPr="00113ED6">
              <w:rPr>
                <w:rFonts w:cs="Avenir-Light"/>
                <w:sz w:val="13"/>
                <w:szCs w:val="13"/>
                <w:lang w:eastAsia="en-GB"/>
              </w:rPr>
              <w:t>Viðmiðunar</w:t>
            </w:r>
            <w:r w:rsidRPr="00113ED6">
              <w:rPr>
                <w:rFonts w:cs="Avenir-Light"/>
                <w:sz w:val="13"/>
                <w:szCs w:val="13"/>
                <w:lang w:eastAsia="en-GB"/>
              </w:rPr>
              <w:softHyphen/>
              <w:t>fjár</w:t>
            </w:r>
            <w:r w:rsidRPr="00113ED6">
              <w:rPr>
                <w:rFonts w:cs="Avenir-Light"/>
                <w:sz w:val="13"/>
                <w:szCs w:val="13"/>
                <w:lang w:eastAsia="en-GB"/>
              </w:rPr>
              <w:softHyphen/>
              <w:t>hæð þessi breytist árlega í hlutfalli við breytingu á vísitölu neyslu</w:t>
            </w:r>
            <w:r w:rsidRPr="00113ED6">
              <w:rPr>
                <w:rFonts w:cs="Avenir-Light"/>
                <w:sz w:val="13"/>
                <w:szCs w:val="13"/>
                <w:lang w:eastAsia="en-GB"/>
              </w:rPr>
              <w:softHyphen/>
              <w:t xml:space="preserve">verðs miðað við grunnvísitölu 173,5 stig. </w:t>
            </w:r>
            <w:r w:rsidRPr="00113ED6">
              <w:rPr>
                <w:rFonts w:cs="Avenir-Light"/>
                <w:sz w:val="13"/>
                <w:szCs w:val="13"/>
                <w:lang w:val="nb-NO" w:eastAsia="en-GB"/>
              </w:rPr>
              <w:t>Unnt er að semja um annan og lengri útborgunar</w:t>
            </w:r>
            <w:r w:rsidRPr="00113ED6">
              <w:rPr>
                <w:rFonts w:cs="Avenir-Light"/>
                <w:sz w:val="13"/>
                <w:szCs w:val="13"/>
                <w:lang w:val="nb-NO" w:eastAsia="en-GB"/>
              </w:rPr>
              <w:softHyphen/>
              <w:t>tíma en greinir hér fyrir ofan. Með jöfnum greiðslum hér fyrir framan er átt við greiðsl</w:t>
            </w:r>
            <w:r w:rsidRPr="00113ED6">
              <w:rPr>
                <w:rFonts w:cs="Avenir-Light"/>
                <w:sz w:val="13"/>
                <w:szCs w:val="13"/>
                <w:lang w:val="nb-NO" w:eastAsia="en-GB"/>
              </w:rPr>
              <w:softHyphen/>
              <w:t>ur að tiltölu við fjölda greiðsluára þannig að rétthafi fái á hverju ári þann hluta inn</w:t>
            </w:r>
            <w:r w:rsidRPr="00113ED6">
              <w:rPr>
                <w:rFonts w:cs="Avenir-Light"/>
                <w:sz w:val="13"/>
                <w:szCs w:val="13"/>
                <w:lang w:val="nb-NO" w:eastAsia="en-GB"/>
              </w:rPr>
              <w:softHyphen/>
              <w:t>stæðunnar að meðtöldum vöxtum sem sam</w:t>
            </w:r>
            <w:r w:rsidRPr="00113ED6">
              <w:rPr>
                <w:rFonts w:cs="Avenir-Light"/>
                <w:sz w:val="13"/>
                <w:szCs w:val="13"/>
                <w:lang w:val="nb-NO" w:eastAsia="en-GB"/>
              </w:rPr>
              <w:softHyphen/>
              <w:t>svarar tölu þeirra ára sem eftir standa af endurgreiðslutímanum.</w:t>
            </w:r>
          </w:p>
          <w:p w14:paraId="1F214140" w14:textId="77777777" w:rsidR="006350DD" w:rsidRPr="00113ED6" w:rsidRDefault="006350DD" w:rsidP="00E12F74">
            <w:pPr>
              <w:autoSpaceDE w:val="0"/>
              <w:autoSpaceDN w:val="0"/>
              <w:adjustRightInd w:val="0"/>
              <w:jc w:val="both"/>
              <w:rPr>
                <w:rFonts w:cs="Avenir-Heavy"/>
                <w:b/>
                <w:sz w:val="13"/>
                <w:szCs w:val="13"/>
                <w:lang w:val="nb-NO" w:eastAsia="en-GB"/>
              </w:rPr>
            </w:pPr>
            <w:r w:rsidRPr="00113ED6">
              <w:rPr>
                <w:rFonts w:cs="Avenir-Heavy"/>
                <w:b/>
                <w:sz w:val="13"/>
                <w:szCs w:val="13"/>
                <w:lang w:val="nb-NO" w:eastAsia="en-GB"/>
              </w:rPr>
              <w:t>8. gr. Uppsögn samnings</w:t>
            </w:r>
          </w:p>
          <w:p w14:paraId="1F214141" w14:textId="77777777" w:rsidR="006350DD" w:rsidRPr="00113ED6" w:rsidRDefault="006350DD" w:rsidP="00E12F74">
            <w:pPr>
              <w:autoSpaceDE w:val="0"/>
              <w:autoSpaceDN w:val="0"/>
              <w:adjustRightInd w:val="0"/>
              <w:jc w:val="both"/>
              <w:rPr>
                <w:rFonts w:cs="Avenir-Light"/>
                <w:sz w:val="13"/>
                <w:szCs w:val="13"/>
                <w:lang w:eastAsia="en-GB"/>
              </w:rPr>
            </w:pPr>
            <w:r w:rsidRPr="00113ED6">
              <w:rPr>
                <w:rFonts w:cs="Arial"/>
                <w:sz w:val="13"/>
                <w:szCs w:val="13"/>
              </w:rPr>
              <w:t xml:space="preserve">Undirritun rétthafa á samninginn skuldbindur hann ekki fyrr en fjórtán dögum frá gerð samningsins og er rétthafa heimilt að falla frá samningi innan þess frests. </w:t>
            </w:r>
            <w:r w:rsidRPr="00113ED6">
              <w:rPr>
                <w:rFonts w:cs="Avenir-Light"/>
                <w:sz w:val="13"/>
                <w:szCs w:val="13"/>
                <w:lang w:eastAsia="en-GB"/>
              </w:rPr>
              <w:t>Samningi um Lífeyrisauka er hægt að segja upp með tveggja mánaða fyrirvara. Uppsögn skal vera skrifleg og undirrituð af rétthafa. Uppsögn veitir ekki rétt til út</w:t>
            </w:r>
            <w:r w:rsidRPr="00113ED6">
              <w:rPr>
                <w:rFonts w:cs="Avenir-Light"/>
                <w:sz w:val="13"/>
                <w:szCs w:val="13"/>
                <w:lang w:eastAsia="en-GB"/>
              </w:rPr>
              <w:softHyphen/>
              <w:t>borgunar innstæðu. Hætti iðgjöld vegna rétthafa að berast til Arion banka hf. af ein</w:t>
            </w:r>
            <w:r w:rsidRPr="00113ED6">
              <w:rPr>
                <w:rFonts w:cs="Avenir-Light"/>
                <w:sz w:val="13"/>
                <w:szCs w:val="13"/>
                <w:lang w:eastAsia="en-GB"/>
              </w:rPr>
              <w:softHyphen/>
              <w:t>hverjum ástæðum verður innstæðan ásamt vöxtum ávöxtuð áfram hjá bankanum og greidd út sam</w:t>
            </w:r>
            <w:r w:rsidRPr="00113ED6">
              <w:rPr>
                <w:rFonts w:cs="Avenir-Light"/>
                <w:sz w:val="13"/>
                <w:szCs w:val="13"/>
                <w:lang w:eastAsia="en-GB"/>
              </w:rPr>
              <w:softHyphen/>
              <w:t>kvæmt útborgunarreglum 7. gr.</w:t>
            </w:r>
          </w:p>
          <w:p w14:paraId="1F214142" w14:textId="77777777" w:rsidR="006350DD" w:rsidRPr="00113ED6" w:rsidRDefault="006350DD" w:rsidP="00E12F74">
            <w:pPr>
              <w:autoSpaceDE w:val="0"/>
              <w:autoSpaceDN w:val="0"/>
              <w:adjustRightInd w:val="0"/>
              <w:jc w:val="both"/>
              <w:rPr>
                <w:rFonts w:cs="Avenir-Heavy"/>
                <w:b/>
                <w:sz w:val="13"/>
                <w:szCs w:val="13"/>
                <w:lang w:eastAsia="en-GB"/>
              </w:rPr>
            </w:pPr>
            <w:r w:rsidRPr="00113ED6">
              <w:rPr>
                <w:rFonts w:cs="Avenir-Heavy"/>
                <w:b/>
                <w:sz w:val="13"/>
                <w:szCs w:val="13"/>
                <w:lang w:eastAsia="en-GB"/>
              </w:rPr>
              <w:t>9. gr. Flutningur milli vörsluaðila</w:t>
            </w:r>
          </w:p>
          <w:p w14:paraId="1F214143" w14:textId="77777777" w:rsidR="006350DD" w:rsidRPr="00113ED6" w:rsidRDefault="006350DD" w:rsidP="00E12F74">
            <w:pPr>
              <w:tabs>
                <w:tab w:val="left" w:pos="426"/>
              </w:tabs>
              <w:jc w:val="both"/>
              <w:outlineLvl w:val="0"/>
              <w:rPr>
                <w:rFonts w:cs="Avenir-Light"/>
                <w:sz w:val="13"/>
                <w:szCs w:val="13"/>
                <w:lang w:eastAsia="en-GB"/>
              </w:rPr>
            </w:pPr>
            <w:r w:rsidRPr="00113ED6">
              <w:rPr>
                <w:rFonts w:cs="Avenir-Light"/>
                <w:sz w:val="13"/>
                <w:szCs w:val="13"/>
                <w:lang w:eastAsia="en-GB"/>
              </w:rPr>
              <w:t>Heimilt er að flytja innstæðu til annarra vörsluaðila sem geta boðið samninga af þessu tagi, sbr. 3. mgr. 8. gr. laga nr. 129/1997, óski rétthafi eftir því við Arion banka hf. með skriflegri tilkynningu. Flutningurinn skal eiga sér stað innan tveggja mánaða frá móttöku flutningsbeiðni frá rétthafa. Kostnaður vegna flutnings skal vera skv. gildandi gjaldskrá Arion banka</w:t>
            </w:r>
            <w:r w:rsidR="00704893">
              <w:rPr>
                <w:rFonts w:cs="Avenir-Light"/>
                <w:sz w:val="13"/>
                <w:szCs w:val="13"/>
                <w:lang w:eastAsia="en-GB"/>
              </w:rPr>
              <w:t xml:space="preserve"> hf. á hverjum tíma að hámarki 0,5</w:t>
            </w:r>
            <w:r w:rsidRPr="00113ED6">
              <w:rPr>
                <w:rFonts w:cs="Avenir-Light"/>
                <w:sz w:val="13"/>
                <w:szCs w:val="13"/>
                <w:lang w:eastAsia="en-GB"/>
              </w:rPr>
              <w:t>% af inn</w:t>
            </w:r>
            <w:r w:rsidRPr="00113ED6">
              <w:rPr>
                <w:rFonts w:cs="Avenir-Light"/>
                <w:sz w:val="13"/>
                <w:szCs w:val="13"/>
                <w:lang w:eastAsia="en-GB"/>
              </w:rPr>
              <w:softHyphen/>
              <w:t>eign rétthafa en að lágmarki 5.000 kr.</w:t>
            </w:r>
          </w:p>
          <w:p w14:paraId="1F214144" w14:textId="77777777" w:rsidR="006350DD" w:rsidRPr="00113ED6" w:rsidRDefault="006350DD" w:rsidP="00E12F74">
            <w:pPr>
              <w:autoSpaceDE w:val="0"/>
              <w:autoSpaceDN w:val="0"/>
              <w:adjustRightInd w:val="0"/>
              <w:jc w:val="both"/>
              <w:rPr>
                <w:rFonts w:cs="Avenir-Heavy"/>
                <w:b/>
                <w:sz w:val="13"/>
                <w:szCs w:val="13"/>
                <w:lang w:eastAsia="en-GB"/>
              </w:rPr>
            </w:pPr>
            <w:r w:rsidRPr="00113ED6">
              <w:rPr>
                <w:rFonts w:cs="Avenir-Heavy"/>
                <w:b/>
                <w:sz w:val="13"/>
                <w:szCs w:val="13"/>
                <w:lang w:eastAsia="en-GB"/>
              </w:rPr>
              <w:t>10. gr. Framsal réttinda</w:t>
            </w:r>
          </w:p>
          <w:p w14:paraId="1F214145" w14:textId="77777777" w:rsidR="006350DD" w:rsidRPr="00113ED6"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Rétthafa er óheimilt að framselja, veðsetja eða á annan hátt ráðstafa inn</w:t>
            </w:r>
            <w:r w:rsidRPr="00113ED6">
              <w:rPr>
                <w:rFonts w:cs="Avenir-Light"/>
                <w:sz w:val="13"/>
                <w:szCs w:val="13"/>
                <w:lang w:eastAsia="en-GB"/>
              </w:rPr>
              <w:softHyphen/>
              <w:t>stæðu eða réttindum skv. samningi um aðild að Lífeyrisauka, nema sam</w:t>
            </w:r>
            <w:r w:rsidRPr="00113ED6">
              <w:rPr>
                <w:rFonts w:cs="Avenir-Light"/>
                <w:sz w:val="13"/>
                <w:szCs w:val="13"/>
                <w:lang w:eastAsia="en-GB"/>
              </w:rPr>
              <w:softHyphen/>
              <w:t>kvæmt 1. - 3. tl. 3. mgr. 14. gr. laga nr. 129/1997.</w:t>
            </w:r>
          </w:p>
          <w:p w14:paraId="1F214146" w14:textId="77777777" w:rsidR="006350DD" w:rsidRPr="00113ED6" w:rsidRDefault="006350DD" w:rsidP="00E12F74">
            <w:pPr>
              <w:autoSpaceDE w:val="0"/>
              <w:autoSpaceDN w:val="0"/>
              <w:adjustRightInd w:val="0"/>
              <w:jc w:val="both"/>
              <w:rPr>
                <w:rFonts w:cs="Avenir-Heavy"/>
                <w:b/>
                <w:sz w:val="13"/>
                <w:szCs w:val="13"/>
                <w:lang w:eastAsia="en-GB"/>
              </w:rPr>
            </w:pPr>
            <w:r w:rsidRPr="00113ED6">
              <w:rPr>
                <w:rFonts w:cs="Avenir-Heavy"/>
                <w:b/>
                <w:sz w:val="13"/>
                <w:szCs w:val="13"/>
                <w:lang w:eastAsia="en-GB"/>
              </w:rPr>
              <w:t xml:space="preserve">11. gr. Breyting á reglum </w:t>
            </w:r>
          </w:p>
          <w:p w14:paraId="1F214147" w14:textId="77777777" w:rsidR="006350DD" w:rsidRPr="00113ED6" w:rsidRDefault="006350DD" w:rsidP="00E12F74">
            <w:pPr>
              <w:autoSpaceDE w:val="0"/>
              <w:autoSpaceDN w:val="0"/>
              <w:adjustRightInd w:val="0"/>
              <w:jc w:val="both"/>
              <w:rPr>
                <w:rFonts w:cs="Avenir-Light"/>
                <w:sz w:val="13"/>
                <w:szCs w:val="13"/>
                <w:lang w:eastAsia="en-GB"/>
              </w:rPr>
            </w:pPr>
            <w:r w:rsidRPr="00113ED6">
              <w:rPr>
                <w:rFonts w:cs="Avenir-Light"/>
                <w:sz w:val="13"/>
                <w:szCs w:val="13"/>
                <w:lang w:eastAsia="en-GB"/>
              </w:rPr>
              <w:t>Arion banka hf. er heimilt að breyta reglum þessum að undangengnu sam</w:t>
            </w:r>
            <w:r w:rsidRPr="00113ED6">
              <w:rPr>
                <w:rFonts w:cs="Avenir-Light"/>
                <w:sz w:val="13"/>
                <w:szCs w:val="13"/>
                <w:lang w:eastAsia="en-GB"/>
              </w:rPr>
              <w:softHyphen/>
              <w:t>þykki fjár</w:t>
            </w:r>
            <w:r w:rsidRPr="00113ED6">
              <w:rPr>
                <w:rFonts w:cs="Avenir-Light"/>
                <w:sz w:val="13"/>
                <w:szCs w:val="13"/>
                <w:lang w:eastAsia="en-GB"/>
              </w:rPr>
              <w:softHyphen/>
              <w:t>málaráðherra.</w:t>
            </w:r>
          </w:p>
          <w:p w14:paraId="1F214148" w14:textId="77777777" w:rsidR="006350DD" w:rsidRPr="00113ED6" w:rsidRDefault="006350DD" w:rsidP="00E12F74">
            <w:pPr>
              <w:autoSpaceDE w:val="0"/>
              <w:autoSpaceDN w:val="0"/>
              <w:adjustRightInd w:val="0"/>
              <w:jc w:val="both"/>
              <w:rPr>
                <w:rFonts w:cs="Avenir-Heavy"/>
                <w:b/>
                <w:sz w:val="13"/>
                <w:szCs w:val="13"/>
                <w:lang w:eastAsia="en-GB"/>
              </w:rPr>
            </w:pPr>
            <w:r w:rsidRPr="00113ED6">
              <w:rPr>
                <w:rFonts w:cs="Avenir-Heavy"/>
                <w:b/>
                <w:sz w:val="13"/>
                <w:szCs w:val="13"/>
                <w:lang w:eastAsia="en-GB"/>
              </w:rPr>
              <w:t>12. gr. Innheimta</w:t>
            </w:r>
          </w:p>
          <w:p w14:paraId="1F214149" w14:textId="77777777" w:rsidR="006350DD" w:rsidRPr="00113ED6" w:rsidRDefault="006350DD" w:rsidP="00E12F74">
            <w:pPr>
              <w:tabs>
                <w:tab w:val="left" w:pos="426"/>
              </w:tabs>
              <w:jc w:val="both"/>
              <w:outlineLvl w:val="0"/>
              <w:rPr>
                <w:rFonts w:cs="Avenir-Light"/>
                <w:sz w:val="13"/>
                <w:szCs w:val="13"/>
                <w:lang w:eastAsia="en-GB"/>
              </w:rPr>
            </w:pPr>
            <w:r w:rsidRPr="00113ED6">
              <w:rPr>
                <w:rFonts w:cs="Avenir-Light"/>
                <w:sz w:val="13"/>
                <w:szCs w:val="13"/>
                <w:lang w:eastAsia="en-GB"/>
              </w:rPr>
              <w:t>Ábyrgð á skilum launagreiðanda á afdregnum iðgjöldum lífeyrissparnaðar er hjá rétt</w:t>
            </w:r>
            <w:r w:rsidRPr="00113ED6">
              <w:rPr>
                <w:rFonts w:cs="Avenir-Light"/>
                <w:sz w:val="13"/>
                <w:szCs w:val="13"/>
                <w:lang w:eastAsia="en-GB"/>
              </w:rPr>
              <w:softHyphen/>
              <w:t>hafa. Óski rétthafi eftir aðstoð Arion banka hf. við innheimtu van</w:t>
            </w:r>
            <w:r w:rsidRPr="00113ED6">
              <w:rPr>
                <w:rFonts w:cs="Avenir-Light"/>
                <w:sz w:val="13"/>
                <w:szCs w:val="13"/>
                <w:lang w:eastAsia="en-GB"/>
              </w:rPr>
              <w:softHyphen/>
              <w:t>goldinna ið</w:t>
            </w:r>
            <w:r w:rsidRPr="00113ED6">
              <w:rPr>
                <w:rFonts w:cs="Avenir-Light"/>
                <w:sz w:val="13"/>
                <w:szCs w:val="13"/>
                <w:lang w:eastAsia="en-GB"/>
              </w:rPr>
              <w:softHyphen/>
              <w:t>gjalda skal tilkynning þess efnis berast með skriflegum hætti til bankans ásamt launaseðlum sem sýna afdregin iðgjöld. Við gjaldþrot launa</w:t>
            </w:r>
            <w:r w:rsidRPr="00113ED6">
              <w:rPr>
                <w:rFonts w:cs="Avenir-Light"/>
                <w:sz w:val="13"/>
                <w:szCs w:val="13"/>
                <w:lang w:eastAsia="en-GB"/>
              </w:rPr>
              <w:softHyphen/>
              <w:t>greiðanda ábyrgist Ábyrgðasjóður launa kröf</w:t>
            </w:r>
            <w:r w:rsidRPr="00113ED6">
              <w:rPr>
                <w:rFonts w:cs="Avenir-Light"/>
                <w:sz w:val="13"/>
                <w:szCs w:val="13"/>
                <w:lang w:eastAsia="en-GB"/>
              </w:rPr>
              <w:softHyphen/>
              <w:t>ur um vangoldin iðgjöld sem fallið hafa í gjalddaga að ákveðnum skilyrðum upp</w:t>
            </w:r>
            <w:r w:rsidRPr="00113ED6">
              <w:rPr>
                <w:rFonts w:cs="Avenir-Light"/>
                <w:sz w:val="13"/>
                <w:szCs w:val="13"/>
                <w:lang w:eastAsia="en-GB"/>
              </w:rPr>
              <w:softHyphen/>
              <w:t>fylltum, sbr. III. kafla reglu</w:t>
            </w:r>
            <w:r w:rsidRPr="00113ED6">
              <w:rPr>
                <w:rFonts w:cs="Avenir-Light"/>
                <w:sz w:val="13"/>
                <w:szCs w:val="13"/>
                <w:lang w:eastAsia="en-GB"/>
              </w:rPr>
              <w:softHyphen/>
              <w:t xml:space="preserve">gerðar nr. 462/2003, um Ábyrgðasjóð launa, sem er að finna á </w:t>
            </w:r>
            <w:hyperlink r:id="rId16" w:history="1">
              <w:r w:rsidRPr="00113ED6">
                <w:rPr>
                  <w:rStyle w:val="Hyperlink"/>
                  <w:rFonts w:cs="Avenir-Light"/>
                  <w:sz w:val="13"/>
                  <w:szCs w:val="13"/>
                  <w:lang w:eastAsia="en-GB"/>
                </w:rPr>
                <w:t>www.arionbanki.is/lifeyrir</w:t>
              </w:r>
            </w:hyperlink>
            <w:r w:rsidRPr="00113ED6">
              <w:rPr>
                <w:rFonts w:cs="Avenir-Light"/>
                <w:sz w:val="13"/>
                <w:szCs w:val="13"/>
                <w:lang w:eastAsia="en-GB"/>
              </w:rPr>
              <w:t>.</w:t>
            </w:r>
          </w:p>
          <w:p w14:paraId="1F21414A" w14:textId="77777777" w:rsidR="006350DD" w:rsidRPr="006350DD" w:rsidRDefault="006350DD" w:rsidP="00E12F74">
            <w:pPr>
              <w:jc w:val="both"/>
              <w:outlineLvl w:val="0"/>
              <w:rPr>
                <w:b/>
                <w:sz w:val="14"/>
                <w:szCs w:val="16"/>
              </w:rPr>
            </w:pPr>
            <w:r w:rsidRPr="006350DD">
              <w:rPr>
                <w:b/>
                <w:sz w:val="14"/>
                <w:szCs w:val="16"/>
              </w:rPr>
              <w:t>Reglur sem eiga eingöngu við rétthafa sem gera samning um Örorkutryggingu Varðar Trygginga hf.</w:t>
            </w:r>
          </w:p>
          <w:p w14:paraId="1F21414B" w14:textId="77777777" w:rsidR="006350DD" w:rsidRPr="00113ED6" w:rsidRDefault="006350DD" w:rsidP="00E12F74">
            <w:pPr>
              <w:jc w:val="both"/>
              <w:outlineLvl w:val="0"/>
              <w:rPr>
                <w:b/>
                <w:sz w:val="13"/>
                <w:szCs w:val="13"/>
              </w:rPr>
            </w:pPr>
            <w:r w:rsidRPr="00113ED6">
              <w:rPr>
                <w:b/>
                <w:sz w:val="13"/>
                <w:szCs w:val="13"/>
              </w:rPr>
              <w:t>1. gr. Almennir skilmálar</w:t>
            </w:r>
          </w:p>
          <w:p w14:paraId="1F21414C" w14:textId="77777777" w:rsidR="006350DD" w:rsidRPr="00113ED6" w:rsidRDefault="006350DD" w:rsidP="00E12F74">
            <w:pPr>
              <w:jc w:val="both"/>
              <w:outlineLvl w:val="0"/>
              <w:rPr>
                <w:sz w:val="13"/>
                <w:szCs w:val="13"/>
              </w:rPr>
            </w:pPr>
            <w:r w:rsidRPr="006350DD">
              <w:rPr>
                <w:sz w:val="13"/>
                <w:szCs w:val="13"/>
              </w:rPr>
              <w:t>Um örorkutryggingu vegna slyss og sjúkdóma (örorkutr</w:t>
            </w:r>
            <w:r>
              <w:rPr>
                <w:sz w:val="13"/>
                <w:szCs w:val="13"/>
              </w:rPr>
              <w:t>yggingu) gilda vátryggingarskil</w:t>
            </w:r>
            <w:r w:rsidRPr="006350DD">
              <w:rPr>
                <w:sz w:val="13"/>
                <w:szCs w:val="13"/>
              </w:rPr>
              <w:t xml:space="preserve">málar Varðar Trygginga hf. Arion banki hf., sem vörsluaðili Lífeyrisauka, skuldbindur sig til að ráðstafa hluta iðgjalds rétthafa, sem eru á aldursbilinu 20-60 ára, til greiðslu iðgjalds örorkutryggingar í samræmi við samning rétthafa </w:t>
            </w:r>
            <w:r>
              <w:rPr>
                <w:sz w:val="13"/>
                <w:szCs w:val="13"/>
              </w:rPr>
              <w:t>og Varðar Trygginga hf. og skilmála vá</w:t>
            </w:r>
            <w:r w:rsidRPr="006350DD">
              <w:rPr>
                <w:sz w:val="13"/>
                <w:szCs w:val="13"/>
              </w:rPr>
              <w:t>tryggingarinnar. Komi til þess að greiðsluskylda Varðar T</w:t>
            </w:r>
            <w:r>
              <w:rPr>
                <w:sz w:val="13"/>
                <w:szCs w:val="13"/>
              </w:rPr>
              <w:t>rygginga hf. verði virk skv. vá</w:t>
            </w:r>
            <w:r w:rsidRPr="006350DD">
              <w:rPr>
                <w:sz w:val="13"/>
                <w:szCs w:val="13"/>
              </w:rPr>
              <w:t>tryggingunni og vátryggingarbætur verði greiddar, mun Arion bank</w:t>
            </w:r>
            <w:r>
              <w:rPr>
                <w:sz w:val="13"/>
                <w:szCs w:val="13"/>
              </w:rPr>
              <w:t>i hf. taka á móti greiðsl</w:t>
            </w:r>
            <w:r w:rsidRPr="006350DD">
              <w:rPr>
                <w:sz w:val="13"/>
                <w:szCs w:val="13"/>
              </w:rPr>
              <w:t>unni og ráðstafa henni í fjárfestingarleið/ir rétthafa í Lífeyrisauka. Að fullnægðum skilyrðum útborgunarreglna 11. gr. laga nr. 129/1997, um skyldutrygg</w:t>
            </w:r>
            <w:r>
              <w:rPr>
                <w:sz w:val="13"/>
                <w:szCs w:val="13"/>
              </w:rPr>
              <w:t>ingu lífeyrisréttinda og starf</w:t>
            </w:r>
            <w:r w:rsidRPr="006350DD">
              <w:rPr>
                <w:sz w:val="13"/>
                <w:szCs w:val="13"/>
              </w:rPr>
              <w:t>semi lífeyrissjóða, og í samræmi við þau skattalög sem gilda á hverjum tíma, verður viðbótarlífeyrissparnaðurinn greiddur úr Lífe</w:t>
            </w:r>
            <w:r>
              <w:rPr>
                <w:sz w:val="13"/>
                <w:szCs w:val="13"/>
              </w:rPr>
              <w:t>yrisauka til rétthafa lífeyriss</w:t>
            </w:r>
            <w:r w:rsidRPr="006350DD">
              <w:rPr>
                <w:sz w:val="13"/>
                <w:szCs w:val="13"/>
              </w:rPr>
              <w:t>parnaðarins.</w:t>
            </w:r>
          </w:p>
          <w:p w14:paraId="1F21414D" w14:textId="77777777" w:rsidR="006350DD" w:rsidRPr="00113ED6" w:rsidRDefault="006350DD" w:rsidP="00E12F74">
            <w:pPr>
              <w:jc w:val="both"/>
              <w:outlineLvl w:val="0"/>
              <w:rPr>
                <w:b/>
                <w:sz w:val="13"/>
                <w:szCs w:val="13"/>
              </w:rPr>
            </w:pPr>
            <w:r w:rsidRPr="00113ED6">
              <w:rPr>
                <w:b/>
                <w:sz w:val="13"/>
                <w:szCs w:val="13"/>
              </w:rPr>
              <w:t xml:space="preserve">2. gr. Uppsögn á </w:t>
            </w:r>
            <w:r w:rsidR="00AB2FC1">
              <w:rPr>
                <w:b/>
                <w:sz w:val="13"/>
                <w:szCs w:val="13"/>
              </w:rPr>
              <w:t>Lífeyrisauka</w:t>
            </w:r>
          </w:p>
          <w:p w14:paraId="1F21414E" w14:textId="77777777" w:rsidR="006350DD" w:rsidRPr="00113ED6" w:rsidRDefault="006350DD" w:rsidP="00AB2FC1">
            <w:pPr>
              <w:tabs>
                <w:tab w:val="left" w:pos="426"/>
              </w:tabs>
              <w:jc w:val="both"/>
              <w:outlineLvl w:val="0"/>
              <w:rPr>
                <w:sz w:val="13"/>
                <w:szCs w:val="13"/>
              </w:rPr>
            </w:pPr>
            <w:r w:rsidRPr="00113ED6">
              <w:rPr>
                <w:sz w:val="13"/>
                <w:szCs w:val="13"/>
              </w:rPr>
              <w:t xml:space="preserve">Uppsögn rétthafa á </w:t>
            </w:r>
            <w:r w:rsidR="00AB2FC1">
              <w:rPr>
                <w:sz w:val="13"/>
                <w:szCs w:val="13"/>
              </w:rPr>
              <w:t>Lífeyrisauka</w:t>
            </w:r>
            <w:r w:rsidRPr="00113ED6">
              <w:rPr>
                <w:sz w:val="13"/>
                <w:szCs w:val="13"/>
              </w:rPr>
              <w:t xml:space="preserve"> felur jafnframt í sér uppsögn á örorkutryggingu</w:t>
            </w:r>
            <w:r w:rsidR="00AB2FC1">
              <w:rPr>
                <w:sz w:val="13"/>
                <w:szCs w:val="13"/>
              </w:rPr>
              <w:t xml:space="preserve"> Varðar</w:t>
            </w:r>
            <w:r w:rsidRPr="00113ED6">
              <w:rPr>
                <w:sz w:val="13"/>
                <w:szCs w:val="13"/>
              </w:rPr>
              <w:t>.</w:t>
            </w:r>
          </w:p>
        </w:tc>
      </w:tr>
    </w:tbl>
    <w:p w14:paraId="1F214150" w14:textId="77777777" w:rsidR="006350DD" w:rsidRPr="00125CCC" w:rsidRDefault="006350DD" w:rsidP="006350DD">
      <w:pPr>
        <w:rPr>
          <w:sz w:val="2"/>
          <w:szCs w:val="2"/>
        </w:rPr>
      </w:pPr>
    </w:p>
    <w:p w14:paraId="1F214151" w14:textId="77777777" w:rsidR="006350DD" w:rsidRPr="006045D8" w:rsidRDefault="006350DD" w:rsidP="00AB0BE1">
      <w:pPr>
        <w:rPr>
          <w:sz w:val="2"/>
          <w:szCs w:val="2"/>
        </w:rPr>
      </w:pPr>
    </w:p>
    <w:sectPr w:rsidR="006350DD" w:rsidRPr="006045D8" w:rsidSect="00F95949">
      <w:footerReference w:type="default" r:id="rId17"/>
      <w:pgSz w:w="11906" w:h="16838" w:code="9"/>
      <w:pgMar w:top="851" w:right="1021" w:bottom="85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14158" w14:textId="77777777" w:rsidR="00ED0A47" w:rsidRDefault="00ED0A47" w:rsidP="006C3641">
      <w:r>
        <w:separator/>
      </w:r>
    </w:p>
  </w:endnote>
  <w:endnote w:type="continuationSeparator" w:id="0">
    <w:p w14:paraId="1F214159" w14:textId="77777777" w:rsidR="00ED0A47" w:rsidRDefault="00ED0A47"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Roman">
    <w:panose1 w:val="020B0500000000000000"/>
    <w:charset w:val="00"/>
    <w:family w:val="swiss"/>
    <w:pitch w:val="variable"/>
    <w:sig w:usb0="00000003" w:usb1="00000000" w:usb2="00000000" w:usb3="00000000" w:csb0="00000001" w:csb1="00000000"/>
  </w:font>
  <w:font w:name="Avenir-Heavy">
    <w:panose1 w:val="020B0500000000000000"/>
    <w:charset w:val="00"/>
    <w:family w:val="swiss"/>
    <w:pitch w:val="variable"/>
    <w:sig w:usb0="00000003" w:usb1="00000000" w:usb2="00000000" w:usb3="00000000" w:csb0="00000001" w:csb1="00000000"/>
  </w:font>
  <w:font w:name="Avenir-Light">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1F21415D" w14:textId="77777777" w:rsidTr="007A34DE">
      <w:trPr>
        <w:trHeight w:val="794"/>
      </w:trPr>
      <w:tc>
        <w:tcPr>
          <w:tcW w:w="1741" w:type="pct"/>
          <w:vAlign w:val="bottom"/>
        </w:tcPr>
        <w:p w14:paraId="1F21415A" w14:textId="77777777" w:rsidR="007A34DE" w:rsidRDefault="007A34DE" w:rsidP="00494EFD">
          <w:pPr>
            <w:rPr>
              <w:rStyle w:val="Emphasis"/>
            </w:rPr>
          </w:pPr>
          <w:r w:rsidRPr="00C21889">
            <w:rPr>
              <w:rStyle w:val="Emphasis"/>
            </w:rPr>
            <w:t xml:space="preserve">Ebl. </w:t>
          </w:r>
          <w:bookmarkStart w:id="30" w:name="T_NR"/>
          <w:r>
            <w:rPr>
              <w:rStyle w:val="Emphasis"/>
            </w:rPr>
            <w:t>18</w:t>
          </w:r>
          <w:r w:rsidR="009E1329">
            <w:rPr>
              <w:rStyle w:val="Emphasis"/>
            </w:rPr>
            <w:t>.2.1.4.3</w:t>
          </w:r>
          <w:bookmarkEnd w:id="30"/>
          <w:r>
            <w:rPr>
              <w:rStyle w:val="Emphasis"/>
            </w:rPr>
            <w:t xml:space="preserve">  /  </w:t>
          </w:r>
          <w:r w:rsidR="00494EFD">
            <w:rPr>
              <w:rStyle w:val="Emphasis"/>
            </w:rPr>
            <w:t>01</w:t>
          </w:r>
          <w:r w:rsidR="00752E3D">
            <w:rPr>
              <w:rStyle w:val="Emphasis"/>
            </w:rPr>
            <w:t>.</w:t>
          </w:r>
          <w:r w:rsidR="00FB7B6B">
            <w:rPr>
              <w:rStyle w:val="Emphasis"/>
            </w:rPr>
            <w:t>1</w:t>
          </w:r>
          <w:r w:rsidR="00494EFD">
            <w:rPr>
              <w:rStyle w:val="Emphasis"/>
            </w:rPr>
            <w:t>8</w:t>
          </w:r>
          <w:r w:rsidR="00752E3D">
            <w:rPr>
              <w:rStyle w:val="Emphasis"/>
            </w:rPr>
            <w:t xml:space="preserve"> </w:t>
          </w:r>
          <w:r>
            <w:rPr>
              <w:rStyle w:val="Emphasis"/>
            </w:rPr>
            <w:t xml:space="preserve"> /  </w:t>
          </w:r>
          <w:r w:rsidR="00623D48">
            <w:rPr>
              <w:rStyle w:val="Emphasis"/>
            </w:rPr>
            <w:t>v.v.</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1F21415B"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2660BF">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2660BF">
                <w:rPr>
                  <w:rStyle w:val="Emphasis"/>
                  <w:noProof/>
                </w:rPr>
                <w:t>2</w:t>
              </w:r>
              <w:r w:rsidRPr="00AB47BF">
                <w:rPr>
                  <w:rStyle w:val="Emphasis"/>
                </w:rPr>
                <w:fldChar w:fldCharType="end"/>
              </w:r>
            </w:p>
          </w:sdtContent>
        </w:sdt>
      </w:tc>
      <w:tc>
        <w:tcPr>
          <w:tcW w:w="1782" w:type="pct"/>
          <w:vAlign w:val="bottom"/>
        </w:tcPr>
        <w:p w14:paraId="1F21415C" w14:textId="77777777" w:rsidR="007A34DE" w:rsidRDefault="007A34DE" w:rsidP="00953C8C">
          <w:pPr>
            <w:jc w:val="right"/>
            <w:rPr>
              <w:rStyle w:val="Emphasis"/>
            </w:rPr>
          </w:pPr>
          <w:bookmarkStart w:id="31" w:name="STRIKAM"/>
          <w:bookmarkEnd w:id="31"/>
        </w:p>
      </w:tc>
    </w:tr>
  </w:tbl>
  <w:p w14:paraId="1F21415E"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14156" w14:textId="77777777" w:rsidR="00ED0A47" w:rsidRDefault="00ED0A47" w:rsidP="006C3641">
      <w:r>
        <w:separator/>
      </w:r>
    </w:p>
  </w:footnote>
  <w:footnote w:type="continuationSeparator" w:id="0">
    <w:p w14:paraId="1F214157" w14:textId="77777777" w:rsidR="00ED0A47" w:rsidRDefault="00ED0A47"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9I9w+Jf5VbkkHrSKNhFTU76KOmEVW2dpOH36OUNoyF+IlmVxBWj62OlJaHnBWCBHORATB+em+Yl+1u4GzKBWg==" w:salt="bKJE8bX09rxuIT5hsC0AF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41"/>
    <w:rsid w:val="00015C14"/>
    <w:rsid w:val="0009207B"/>
    <w:rsid w:val="000B6BB4"/>
    <w:rsid w:val="000C50A1"/>
    <w:rsid w:val="0010014E"/>
    <w:rsid w:val="00110768"/>
    <w:rsid w:val="00161D01"/>
    <w:rsid w:val="001A49D0"/>
    <w:rsid w:val="001D47EF"/>
    <w:rsid w:val="001F3AB7"/>
    <w:rsid w:val="002015C2"/>
    <w:rsid w:val="00204047"/>
    <w:rsid w:val="00223911"/>
    <w:rsid w:val="002249EA"/>
    <w:rsid w:val="00247F0D"/>
    <w:rsid w:val="00255CE0"/>
    <w:rsid w:val="002660BF"/>
    <w:rsid w:val="00277D87"/>
    <w:rsid w:val="002A6CAC"/>
    <w:rsid w:val="002C0FBA"/>
    <w:rsid w:val="002E385E"/>
    <w:rsid w:val="002E4620"/>
    <w:rsid w:val="00344A68"/>
    <w:rsid w:val="003634B2"/>
    <w:rsid w:val="003A6A66"/>
    <w:rsid w:val="003D1652"/>
    <w:rsid w:val="00410AD4"/>
    <w:rsid w:val="00453971"/>
    <w:rsid w:val="00471AC1"/>
    <w:rsid w:val="00472BAF"/>
    <w:rsid w:val="004925B1"/>
    <w:rsid w:val="00494EFD"/>
    <w:rsid w:val="004C62C8"/>
    <w:rsid w:val="004E46B9"/>
    <w:rsid w:val="004E6D71"/>
    <w:rsid w:val="004F577D"/>
    <w:rsid w:val="005A744F"/>
    <w:rsid w:val="005D2EFC"/>
    <w:rsid w:val="006045D8"/>
    <w:rsid w:val="00623D48"/>
    <w:rsid w:val="00627B33"/>
    <w:rsid w:val="006350DD"/>
    <w:rsid w:val="00662239"/>
    <w:rsid w:val="00667B1D"/>
    <w:rsid w:val="006746BD"/>
    <w:rsid w:val="0069266A"/>
    <w:rsid w:val="006C3641"/>
    <w:rsid w:val="00704893"/>
    <w:rsid w:val="00705637"/>
    <w:rsid w:val="00752E3D"/>
    <w:rsid w:val="007559E2"/>
    <w:rsid w:val="007606C8"/>
    <w:rsid w:val="00767075"/>
    <w:rsid w:val="00777B0A"/>
    <w:rsid w:val="00777E67"/>
    <w:rsid w:val="007935A7"/>
    <w:rsid w:val="007A01DE"/>
    <w:rsid w:val="007A34DE"/>
    <w:rsid w:val="007B19BF"/>
    <w:rsid w:val="007B4020"/>
    <w:rsid w:val="007B5C82"/>
    <w:rsid w:val="008134AD"/>
    <w:rsid w:val="00834478"/>
    <w:rsid w:val="008472B0"/>
    <w:rsid w:val="00872F3A"/>
    <w:rsid w:val="00886A9F"/>
    <w:rsid w:val="008D2937"/>
    <w:rsid w:val="00910D42"/>
    <w:rsid w:val="0094798B"/>
    <w:rsid w:val="00953C8C"/>
    <w:rsid w:val="009775E4"/>
    <w:rsid w:val="009D68BB"/>
    <w:rsid w:val="009E1329"/>
    <w:rsid w:val="00A02ADE"/>
    <w:rsid w:val="00A03885"/>
    <w:rsid w:val="00A24BEC"/>
    <w:rsid w:val="00A37E88"/>
    <w:rsid w:val="00AA02B2"/>
    <w:rsid w:val="00AB0BE1"/>
    <w:rsid w:val="00AB2FC1"/>
    <w:rsid w:val="00AE0290"/>
    <w:rsid w:val="00AE1089"/>
    <w:rsid w:val="00AE3CEC"/>
    <w:rsid w:val="00AE799C"/>
    <w:rsid w:val="00B06230"/>
    <w:rsid w:val="00B2400B"/>
    <w:rsid w:val="00B462AE"/>
    <w:rsid w:val="00B61B0C"/>
    <w:rsid w:val="00BA28BE"/>
    <w:rsid w:val="00BA41B4"/>
    <w:rsid w:val="00BB05EB"/>
    <w:rsid w:val="00BE05D1"/>
    <w:rsid w:val="00BF5401"/>
    <w:rsid w:val="00C06448"/>
    <w:rsid w:val="00C24110"/>
    <w:rsid w:val="00C32DD7"/>
    <w:rsid w:val="00C467DE"/>
    <w:rsid w:val="00C55EF2"/>
    <w:rsid w:val="00C753C1"/>
    <w:rsid w:val="00C836C4"/>
    <w:rsid w:val="00CA1F66"/>
    <w:rsid w:val="00CF78B2"/>
    <w:rsid w:val="00D102FA"/>
    <w:rsid w:val="00D31B22"/>
    <w:rsid w:val="00DB1844"/>
    <w:rsid w:val="00E048BF"/>
    <w:rsid w:val="00E44AA9"/>
    <w:rsid w:val="00E6160D"/>
    <w:rsid w:val="00E64462"/>
    <w:rsid w:val="00E722D4"/>
    <w:rsid w:val="00ED0A47"/>
    <w:rsid w:val="00EE5526"/>
    <w:rsid w:val="00EF7BFA"/>
    <w:rsid w:val="00F104D4"/>
    <w:rsid w:val="00F16A1D"/>
    <w:rsid w:val="00F70221"/>
    <w:rsid w:val="00F84536"/>
    <w:rsid w:val="00F95949"/>
    <w:rsid w:val="00FB7B6B"/>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213F79"/>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uiPriority w:val="59"/>
    <w:rsid w:val="006926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9266A"/>
    <w:rPr>
      <w:rFonts w:ascii="Calibri" w:hAnsi="Calibri"/>
      <w:sz w:val="22"/>
      <w:szCs w:val="21"/>
    </w:rPr>
  </w:style>
  <w:style w:type="character" w:customStyle="1" w:styleId="PlainTextChar">
    <w:name w:val="Plain Text Char"/>
    <w:basedOn w:val="DefaultParagraphFont"/>
    <w:link w:val="PlainText"/>
    <w:uiPriority w:val="99"/>
    <w:rsid w:val="0069266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ionbanki.is/lifeyri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reytingar@arionbank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AdrarKennitolur xmlns="80fb910c-babb-4bfd-9912-d04f91f305dd" xsi:nil="true"/>
    <glbMikilvaegi xmlns="80fb910c-babb-4bfd-9912-d04f91f305dd">MBI</glbMikilvaegi>
    <glbATH xmlns="80fb910c-babb-4bfd-9912-d04f91f305dd">Athugið þú þarft að senda skannað eintak á breytingar@arionbanki.is til skráningar hjá Lífeyrisþjónustinni á Siglufirði.</glbATH>
    <glbEydingarDagsetning xmlns="80fb910c-babb-4bfd-9912-d04f91f305dd" xsi:nil="true"/>
    <glbSnidmatIGildi xmlns="80fb910c-babb-4bfd-9912-d04f91f305dd">true</glbSnidmatIGildi>
    <_dlc_DocId xmlns="534d0f36-a7db-4464-a30e-a25dcf1b655d">2X22MJ2TKQED-14-9335</_dlc_DocId>
    <glbUpprunakerfi xmlns="3bbe397a-f104-41c1-a027-56c503be3da2" xsi:nil="true"/>
    <TaxCatchAll xmlns="3bbe397a-f104-41c1-a027-56c503be3da2">
      <Value>111</Value>
      <Value>16</Value>
      <Value>1</Value>
      <Value>884</Value>
    </TaxCatchAll>
    <glbNafn1 xmlns="80fb910c-babb-4bfd-9912-d04f91f305dd" xsi:nil="true"/>
    <glbLokadagsetning xmlns="80fb910c-babb-4bfd-9912-d04f91f305dd" xsi:nil="true"/>
    <glbMalanumer xmlns="80fb910c-babb-4bfd-9912-d04f91f305dd" xsi:nil="true"/>
    <glbKennitala1 xmlns="80fb910c-babb-4bfd-9912-d04f91f305dd" xsi:nil="true"/>
    <TaxKeywordTaxHTField xmlns="3bbe397a-f104-41c1-a027-56c503be3da2">
      <Terms xmlns="http://schemas.microsoft.com/office/infopath/2007/PartnerControls"/>
    </TaxKeywordTaxHTField>
    <glbSkjalaholf xmlns="80fb910c-babb-4bfd-9912-d04f91f305dd">Óskilgreint</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Lífeyrisauki-Samningur um viðbótarlífeyrissparnað</TermName>
          <TermId xmlns="http://schemas.microsoft.com/office/infopath/2007/PartnerControls">0dbeefc5-063b-4a51-9b02-ee79ee82df51</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einstaklinga</Value>
      <Value>Fyrir krakka</Value>
      <Value>Fyrir unglinga yngri</Value>
      <Value>Fyrir unglinga eldri</Value>
      <Value>Fyrir eldriborgara</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Utprentunardagsetning xmlns="3bbe397a-f104-41c1-a027-56c503be3da2" xsi:nil="true"/>
    <glbStarfsmannaSkjal xmlns="80fb910c-babb-4bfd-9912-d04f91f305dd">false</glbStarfsmannaSkjal>
    <_dlc_DocIdUrl xmlns="534d0f36-a7db-4464-a30e-a25dcf1b655d">
      <Url>https://seifur.arionbanki.is/eydublod/_layouts/15/DocIdRedir.aspx?ID=2X22MJ2TKQED-14-9335</Url>
      <Description>2X22MJ2TKQED-14-9335</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002094dc-769a-4d41-89e6-c6ad4bee6c1c" ContentTypeId="0x0101006586215F2587754F8E025CBCA7E7FFD401" PreviousValue="true"/>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77" ma:contentTypeDescription="Grunnskjal fyrir skjöl viðskiptavina" ma:contentTypeScope="" ma:versionID="9aafbbfe068c674cf453745fb2dc597b">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a777c5e2d167ff24bb7c19986dbbb9dc"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Text">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6E5C-AD2D-4DCA-A95C-BF2447D46731}">
  <ds:schemaRefs>
    <ds:schemaRef ds:uri="http://schemas.microsoft.com/office/2006/metadata/properties"/>
    <ds:schemaRef ds:uri="http://purl.org/dc/elements/1.1/"/>
    <ds:schemaRef ds:uri="http://purl.org/dc/dcmitype/"/>
    <ds:schemaRef ds:uri="534d0f36-a7db-4464-a30e-a25dcf1b655d"/>
    <ds:schemaRef ds:uri="http://purl.org/dc/terms/"/>
    <ds:schemaRef ds:uri="http://schemas.microsoft.com/office/2006/documentManagement/types"/>
    <ds:schemaRef ds:uri="http://www.w3.org/XML/1998/namespace"/>
    <ds:schemaRef ds:uri="80fb910c-babb-4bfd-9912-d04f91f305dd"/>
    <ds:schemaRef ds:uri="3bbe397a-f104-41c1-a027-56c503be3da2"/>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80BA2F5-D9FC-4CDD-AA26-25A4A73CEDF7}">
  <ds:schemaRefs>
    <ds:schemaRef ds:uri="http://schemas.microsoft.com/sharepoint/v3/contenttype/forms"/>
  </ds:schemaRefs>
</ds:datastoreItem>
</file>

<file path=customXml/itemProps3.xml><?xml version="1.0" encoding="utf-8"?>
<ds:datastoreItem xmlns:ds="http://schemas.openxmlformats.org/officeDocument/2006/customXml" ds:itemID="{CCBAB711-1200-4AFE-98BE-E4BD509A3075}">
  <ds:schemaRefs>
    <ds:schemaRef ds:uri="http://schemas.microsoft.com/sharepoint/events"/>
  </ds:schemaRefs>
</ds:datastoreItem>
</file>

<file path=customXml/itemProps4.xml><?xml version="1.0" encoding="utf-8"?>
<ds:datastoreItem xmlns:ds="http://schemas.openxmlformats.org/officeDocument/2006/customXml" ds:itemID="{C8004A3A-CAC6-44E8-84D1-BF55DB14E92E}">
  <ds:schemaRefs>
    <ds:schemaRef ds:uri="Microsoft.SharePoint.Taxonomy.ContentTypeSync"/>
  </ds:schemaRefs>
</ds:datastoreItem>
</file>

<file path=customXml/itemProps5.xml><?xml version="1.0" encoding="utf-8"?>
<ds:datastoreItem xmlns:ds="http://schemas.openxmlformats.org/officeDocument/2006/customXml" ds:itemID="{3B74D4A5-A2B2-4014-99A7-8BBA8C42E037}"/>
</file>

<file path=customXml/itemProps6.xml><?xml version="1.0" encoding="utf-8"?>
<ds:datastoreItem xmlns:ds="http://schemas.openxmlformats.org/officeDocument/2006/customXml" ds:itemID="{395B8A5B-61B2-4039-94EB-E66646CD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4</cp:revision>
  <cp:lastPrinted>2017-05-23T14:45:00Z</cp:lastPrinted>
  <dcterms:created xsi:type="dcterms:W3CDTF">2018-01-10T13:51:00Z</dcterms:created>
  <dcterms:modified xsi:type="dcterms:W3CDTF">2018-01-23T16:29:00Z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-243288118</vt:i4>
  </property>
  <property fmtid="{D5CDD505-2E9C-101B-9397-08002B2CF9AE}" pid="3" name="_NewReviewCycle">
    <vt:lpwstr/>
  </property>
  <property fmtid="{D5CDD505-2E9C-101B-9397-08002B2CF9AE}" pid="4" name="_EmailSubject">
    <vt:lpwstr>Uppfæra eyðublöð</vt:lpwstr>
  </property>
  <property fmtid="{D5CDD505-2E9C-101B-9397-08002B2CF9AE}" pid="5" name="_AuthorEmail">
    <vt:lpwstr>hjortur.vestfjord@arionbanki.is</vt:lpwstr>
  </property>
  <property fmtid="{D5CDD505-2E9C-101B-9397-08002B2CF9AE}" pid="6" name="_AuthorEmailDisplayName">
    <vt:lpwstr>Hjörtur Smári Vestfjörð</vt:lpwstr>
  </property>
  <property fmtid="{D5CDD505-2E9C-101B-9397-08002B2CF9AE}" pid="7" name="_PreviousAdHocReviewCycleID">
    <vt:i4>1029875639</vt:i4>
  </property>
  <property fmtid="{D5CDD505-2E9C-101B-9397-08002B2CF9AE}" pid="8" name="TaxKeyword">
    <vt:lpwstr/>
  </property>
  <property fmtid="{D5CDD505-2E9C-101B-9397-08002B2CF9AE}" pid="9" name="glbTegundVVSkjals">
    <vt:lpwstr>884;#Lífeyrisauki-Samningur um viðbótarlífeyrissparnað|0dbeefc5-063b-4a51-9b02-ee79ee82df51</vt:lpwstr>
  </property>
  <property fmtid="{D5CDD505-2E9C-101B-9397-08002B2CF9AE}" pid="10" name="ContentTypeId">
    <vt:lpwstr>0x0101006586215F2587754F8E025CBCA7E7FFD40100F559B26990B46A49BEE30E242F0D7ADE</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_dlc_DocIdItemGuid">
    <vt:lpwstr>95ed3f30-b9a6-4528-be44-8bed4b411b34</vt:lpwstr>
  </property>
  <property fmtid="{D5CDD505-2E9C-101B-9397-08002B2CF9AE}" pid="14" name="glbSkjalalykill">
    <vt:lpwstr>16;#Ávöxtun (23.2.2)|b16c28c1-457d-415b-88f8-13ca2c7d1623</vt:lpwstr>
  </property>
  <property fmtid="{D5CDD505-2E9C-101B-9397-08002B2CF9AE}" pid="15" name="WorkflowChangePath">
    <vt:lpwstr>fe129b94-708f-41ce-9e11-080c4ab001b1,17;fe129b94-708f-41ce-9e11-080c4ab001b1,22;fe129b94-708f-41ce-9e11-080c4ab001b1,27;fe129b94-708f-41ce-9e11-080c4ab001b1,32;fe129b94-708f-41ce-9e11-080c4ab001b1,37;fe129b94-708f-41ce-9e11-080c4ab001b1,45;fe129b94-708f-4fe129b94-708f-41ce-9e11-080c4ab001b1,89;</vt:lpwstr>
  </property>
  <property fmtid="{D5CDD505-2E9C-101B-9397-08002B2CF9AE}" pid="16" name="glbGeymsluaaetlun">
    <vt:lpwstr>111;#7 ár|e23ed23b-53b3-44c4-95cb-6b1cdffc1e66</vt:lpwstr>
  </property>
  <property fmtid="{D5CDD505-2E9C-101B-9397-08002B2CF9AE}" pid="17" name="Tengist Kerfi">
    <vt:lpwstr>Ytrivefur</vt:lpwstr>
  </property>
</Properties>
</file>